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vertAlign w:val="baseline"/>
          <w:rtl w:val="0"/>
        </w:rPr>
        <w:t xml:space="preserve">Anexa 3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LISTA DOCUMENTELOR LEGISLATIVE ȘI NORMATIVE DE BAZĂ PRIN PRISMA CĂRORA VA FI IMPLEMENTAT PROIECTUL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right"/>
        <w:rPr>
          <w:rFonts w:ascii="Times New Roman" w:cs="Times New Roman" w:eastAsia="Times New Roman" w:hAnsi="Times New Roman"/>
          <w:b w:val="1"/>
          <w:bCs w:val="1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Tabelul nr. 2</w:t>
      </w:r>
    </w:p>
    <w:tbl>
      <w:tblPr>
        <w:tblStyle w:val="Table1"/>
        <w:tblW w:w="9025.0" w:type="dxa"/>
        <w:jc w:val="left"/>
        <w:tblInd w:w="-100.0" w:type="dxa"/>
        <w:tblLayout w:type="fixed"/>
        <w:tblLook w:val="0000"/>
      </w:tblPr>
      <w:tblGrid>
        <w:gridCol w:w="778"/>
        <w:gridCol w:w="8247"/>
        <w:tblGridChange w:id="0">
          <w:tblGrid>
            <w:gridCol w:w="778"/>
            <w:gridCol w:w="8247"/>
          </w:tblGrid>
        </w:tblGridChange>
      </w:tblGrid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before="60" w:line="240" w:lineRule="auto"/>
              <w:ind w:left="140" w:right="140" w:firstLine="0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Nr. d/o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bfbfb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before="60" w:line="240" w:lineRule="auto"/>
              <w:ind w:left="140" w:right="140" w:firstLine="0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baseline"/>
                <w:rtl w:val="0"/>
              </w:rPr>
              <w:t xml:space="preserve">Denumirea Actului legislativ/normativ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Codul nr. 434/2023 urbanismului și construcțiilor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HG 743/2024 , cu privire la asigurarea calității construcțiilor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ind w:left="209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ORDINUl Nr.78 din 28.11.25 emis de ME” Cu privire la aprobarea Metodologiei privind stabilirea normelor tehnice , modul de amplasare, instalare ;i demontare a CEFV”.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40" w:lineRule="auto"/>
              <w:ind w:left="209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Hotărârea ANRE Nr. 311 din 06 mai 2026” Cu privire la Regulamentul privind racordarea la rețelele electrice și prestarea serviciilor de transport și de distribuție a energiei electrice”</w:t>
            </w:r>
          </w:p>
        </w:tc>
      </w:tr>
      <w:tr>
        <w:trPr>
          <w:cantSplit w:val="0"/>
          <w:trHeight w:val="548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Style w:val="Heading4"/>
              <w:shd w:fill="ffffff" w:val="clear"/>
              <w:spacing w:after="0" w:before="0" w:line="240" w:lineRule="auto"/>
              <w:ind w:left="209" w:firstLine="0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  <w:rtl w:val="0"/>
              </w:rPr>
              <w:t xml:space="preserve">LEGE Nr. 10 din 26-02-2016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highlight w:val="white"/>
                <w:vertAlign w:val="baseline"/>
                <w:rtl w:val="0"/>
              </w:rPr>
              <w:t xml:space="preserve">privind promovarea utilizării energiei din surse regenerabile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HANRE 475/2021, privind aprobarea Regulamentului de admitere în exploatare a instalațiilor electrice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HANRE 743/2024, privind aprobarea Regulamentului cu privire la comunitățile de energie din surse regenerabile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HANRE 394/2019 privind aprobarea documentului normativ-tehnic în domeniul energeticii NE1-02:2019 “Norme de securitate la exploatarea instalațiilor electrice”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HANRE 74/2022 cu privire la aprobarea Regulamentului privind măsurarea energiei electrice în scopuri comerciale și modificarea unor acte normative aprobate de ANRE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NCM A.08.02:2014„Securitatea și sănătatea muncii în construcții”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NCM G.01.02:2015 Proiectarea şi montarea instalațiilor electrice în clădirile locative şi sociale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NCM G.01.03:2016, Dispozitive electrotehnice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NCM A.07.03 – 2002, REGULAMENT CU PRIVIRE LA MONITORIZAREA OBIECTIVELOR ÎN CONSTRUCŢIE DE CĂTRE AUTORUL PROIECTULUI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NCM G.02.02:2018, Amenajarea protecției clădirilor şi construcțiilor contra trăsnetului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CP A.08.01 – 96, INSTRUCŢIUNI DE VERIFICARE A CALITĂŢII ŞI DE RECEPŢIE A LUCRĂRILOR ASCUNSE ŞI/SAU ÎN FAZE DETERMINANTE LA CONSTRUCŢII ŞI INSTALAŢII AFERENTE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vertAlign w:val="baseline"/>
                  <w:rtl w:val="0"/>
                </w:rPr>
                <w:t xml:space="preserve">SM EN 50549-2:2019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, Prescripții pentru centrale electrice destinate a fi conectate în paralel cu rețele electrice de distribuție.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vertAlign w:val="baseline"/>
                  <w:rtl w:val="0"/>
                </w:rPr>
                <w:t xml:space="preserve">SM EN IEC 62446-2:2020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, Sisteme fotovoltaice (PV). Cerințe pentru încercări, documentație și mentenanță. Partea 2: Sisteme conectate la rețea. Mentenanța sistemelor fotovoltaice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Manualele producătorilor de echipament (invertoare, panouri, sisteme de fixare, aparate de comutație/protecție ș.a.)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before="60" w:line="240" w:lineRule="auto"/>
              <w:ind w:right="140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Alte Legi și acte normative relevante</w:t>
            </w:r>
          </w:p>
        </w:tc>
      </w:tr>
    </w:tbl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C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="276" w:lineRule="auto"/>
    </w:pPr>
    <w:rPr>
      <w:rFonts w:ascii="Arial" w:cs="Arial" w:eastAsia="Arial" w:hAnsi="Arial"/>
      <w:sz w:val="40"/>
      <w:szCs w:val="40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="276" w:lineRule="auto"/>
    </w:pPr>
    <w:rPr>
      <w:rFonts w:ascii="Arial" w:cs="Arial" w:eastAsia="Arial" w:hAnsi="Arial"/>
      <w:sz w:val="32"/>
      <w:szCs w:val="32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="276" w:lineRule="auto"/>
    </w:pPr>
    <w:rPr>
      <w:rFonts w:ascii="Arial" w:cs="Arial" w:eastAsia="Arial" w:hAnsi="Arial"/>
      <w:color w:val="434343"/>
      <w:sz w:val="28"/>
      <w:szCs w:val="28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="276" w:lineRule="auto"/>
    </w:pPr>
    <w:rPr>
      <w:rFonts w:ascii="Arial" w:cs="Arial" w:eastAsia="Arial" w:hAnsi="Arial"/>
      <w:color w:val="666666"/>
      <w:sz w:val="24"/>
      <w:szCs w:val="24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="276" w:lineRule="auto"/>
    </w:pPr>
    <w:rPr>
      <w:rFonts w:ascii="Arial" w:cs="Arial" w:eastAsia="Arial" w:hAnsi="Arial"/>
      <w:color w:val="666666"/>
      <w:sz w:val="22"/>
      <w:szCs w:val="22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="276" w:lineRule="auto"/>
    </w:pPr>
    <w:rPr>
      <w:rFonts w:ascii="Arial" w:cs="Arial" w:eastAsia="Arial" w:hAnsi="Arial"/>
      <w:i w:val="1"/>
      <w:iCs w:val="1"/>
      <w:color w:val="666666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spacing w:after="60" w:line="276" w:lineRule="auto"/>
    </w:pPr>
    <w:rPr>
      <w:rFonts w:ascii="Arial" w:cs="Arial" w:eastAsia="Arial" w:hAnsi="Arial"/>
      <w:sz w:val="52"/>
      <w:szCs w:val="52"/>
      <w:vertAlign w:val="baseline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0">
    <w:name w:val="Table Normal"/>
    <w:next w:val="TableNormal0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0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>
    <w:name w:val="Table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_Style10">
    <w:name w:val="_Style 10"/>
    <w:basedOn w:val="TableNormal"/>
    <w:next w:val="_Style10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_Style10"/>
      <w:jc w:val="left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="276" w:lineRule="auto"/>
    </w:pPr>
    <w:rPr>
      <w:rFonts w:ascii="Arial" w:cs="Arial" w:eastAsia="Arial" w:hAnsi="Arial"/>
      <w:color w:val="666666"/>
      <w:sz w:val="30"/>
      <w:szCs w:val="30"/>
      <w:vertAlign w:val="baseline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hop.standard.md/ro/standard_details/612612" TargetMode="External"/><Relationship Id="rId8" Type="http://schemas.openxmlformats.org/officeDocument/2006/relationships/hyperlink" Target="https://shop.standard.md/ro/standard_details/617168#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NZcJEZYTXd9z4j2RowhnDEicjg==">CgMxLjA4AHIhMWpfaGRFZUs4WThNN0ZOU2UtLVJxQVhYUG5hX3Zuc0Vr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2026-08-06T16:41:20Z</dcterms:created>
  <dc:creator>Asus-NB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eyJoZGlkIjoiODM4YTA4YTAyNTVlYjgzMDNmNTZjMDc0YzQ0NGE2MmIiLCJ1c2VySWQiOiIzNzI4NTQ5NTUzMzg4In0=</vt:lpwstr>
  </property>
  <property fmtid="{D5CDD505-2E9C-101B-9397-08002B2CF9AE}" pid="3" name="KSOProductBuildVer">
    <vt:lpwstr>1033-12.1.0.28032</vt:lpwstr>
  </property>
  <property fmtid="{D5CDD505-2E9C-101B-9397-08002B2CF9AE}" pid="4" name="ICV">
    <vt:lpwstr>10637813D392438EB52B2A54CD33A3D0_13</vt:lpwstr>
  </property>
</Properties>
</file>