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ANEXA 1</w:t>
      </w:r>
    </w:p>
    <w:p w:rsidR="00000000" w:rsidDel="00000000" w:rsidP="00000000" w:rsidRDefault="00000000" w:rsidRPr="00000000" w14:paraId="00000002">
      <w:pPr>
        <w:spacing w:after="240" w:before="24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CRITERII DE EVALUARE A OFERTELOR</w:t>
      </w:r>
      <w:r w:rsidDel="00000000" w:rsidR="00000000" w:rsidRPr="00000000">
        <w:rPr>
          <w:rtl w:val="0"/>
        </w:rPr>
      </w:r>
    </w:p>
    <w:p w:rsidR="00000000" w:rsidDel="00000000" w:rsidP="00000000" w:rsidRDefault="00000000" w:rsidRPr="00000000" w14:paraId="00000003">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Metoda de evaluare aplicabilă pentru această licitație publică se bazează pe metoda de punctaj combinat, care reprezintă o combinație între scorul tehnic și scorul financiar. Formula de evaluare a ofertelor este următoarea:</w:t>
      </w:r>
    </w:p>
    <w:p w:rsidR="00000000" w:rsidDel="00000000" w:rsidP="00000000" w:rsidRDefault="00000000" w:rsidRPr="00000000" w14:paraId="00000004">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Evaluarea ofertei tehnice (OT):</w:t>
      </w:r>
    </w:p>
    <w:p w:rsidR="00000000" w:rsidDel="00000000" w:rsidP="00000000" w:rsidRDefault="00000000" w:rsidRPr="00000000" w14:paraId="00000005">
      <w:pPr>
        <w:spacing w:after="240" w:before="24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OT = (Punctajul total obținut de ofertă / Punctajul maxim posibil pentru OT) × 100</w:t>
      </w:r>
    </w:p>
    <w:p w:rsidR="00000000" w:rsidDel="00000000" w:rsidP="00000000" w:rsidRDefault="00000000" w:rsidRPr="00000000" w14:paraId="00000006">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Evaluarea ofertei financiare (OF):</w:t>
      </w:r>
    </w:p>
    <w:p w:rsidR="00000000" w:rsidDel="00000000" w:rsidP="00000000" w:rsidRDefault="00000000" w:rsidRPr="00000000" w14:paraId="00000007">
      <w:pPr>
        <w:spacing w:after="240" w:before="240"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OF = (Oferta cu cel mai mic preț / Prețul ofertei evaluate) × 100</w:t>
      </w:r>
    </w:p>
    <w:p w:rsidR="00000000" w:rsidDel="00000000" w:rsidP="00000000" w:rsidRDefault="00000000" w:rsidRPr="00000000" w14:paraId="00000008">
      <w:pPr>
        <w:spacing w:after="240" w:before="24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Scorul total combinat:</w:t>
      </w:r>
    </w:p>
    <w:p w:rsidR="00000000" w:rsidDel="00000000" w:rsidP="00000000" w:rsidRDefault="00000000" w:rsidRPr="00000000" w14:paraId="00000009">
      <w:pPr>
        <w:spacing w:after="240" w:before="240" w:line="276" w:lineRule="auto"/>
        <w:ind w:firstLine="20"/>
        <w:rPr>
          <w:rFonts w:ascii="Calibri" w:cs="Calibri" w:eastAsia="Calibri" w:hAnsi="Calibri"/>
        </w:rPr>
      </w:pPr>
      <w:r w:rsidDel="00000000" w:rsidR="00000000" w:rsidRPr="00000000">
        <w:rPr>
          <w:rFonts w:ascii="Calibri" w:cs="Calibri" w:eastAsia="Calibri" w:hAnsi="Calibri"/>
          <w:b w:val="1"/>
          <w:bCs w:val="1"/>
          <w:rtl w:val="0"/>
        </w:rPr>
        <w:t xml:space="preserve">Scor combinat = (OT × ponderea OT  (70%)) + (OF × ponderea OF ( 30%))</w:t>
      </w:r>
      <w:r w:rsidDel="00000000" w:rsidR="00000000" w:rsidRPr="00000000">
        <w:rPr>
          <w:rtl w:val="0"/>
        </w:rPr>
      </w:r>
    </w:p>
    <w:p w:rsidR="00000000" w:rsidDel="00000000" w:rsidP="00000000" w:rsidRDefault="00000000" w:rsidRPr="00000000" w14:paraId="0000000A">
      <w:pPr>
        <w:spacing w:after="240" w:before="24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Tabelul 1</w:t>
      </w:r>
      <w:r w:rsidDel="00000000" w:rsidR="00000000" w:rsidRPr="00000000">
        <w:rPr>
          <w:rFonts w:ascii="Calibri" w:cs="Calibri" w:eastAsia="Calibri" w:hAnsi="Calibri"/>
          <w:rtl w:val="0"/>
        </w:rPr>
        <w:t xml:space="preserve"> – Criterii de evaluare tehnică</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6975"/>
        <w:gridCol w:w="1110"/>
        <w:tblGridChange w:id="0">
          <w:tblGrid>
            <w:gridCol w:w="810"/>
            <w:gridCol w:w="6975"/>
            <w:gridCol w:w="1110"/>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B">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Nr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C">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Criterii de evaluare tehnică</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D">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Max. puncte</w:t>
            </w:r>
          </w:p>
        </w:tc>
      </w:tr>
      <w:tr>
        <w:trPr>
          <w:cantSplit w:val="0"/>
          <w:trHeight w:val="25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E">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0F">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Reputația ofertanților – reputația organizației și credibilitatea/ fiabilitatea/ poziția în domeniu*</w:t>
            </w:r>
          </w:p>
          <w:p w:rsidR="00000000" w:rsidDel="00000000" w:rsidP="00000000" w:rsidRDefault="00000000" w:rsidRPr="00000000" w14:paraId="00000010">
            <w:pPr>
              <w:numPr>
                <w:ilvl w:val="0"/>
                <w:numId w:val="1"/>
              </w:numP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sunt este un actor recunoscut pe piață și are o bună reputație – max. 30 puncte</w:t>
            </w:r>
          </w:p>
          <w:p w:rsidR="00000000" w:rsidDel="00000000" w:rsidP="00000000" w:rsidRDefault="00000000" w:rsidRPr="00000000" w14:paraId="00000011">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este cunoscută pe piață, însă există recenzii confirmate din partea clienților și donatorilor care atestă o performanță slabă în implementarea proiectelor (întârzieri în livrarea serviciilor, implementarea proiectelor cu abateri majore de la documentația de proiect etc.) – max. 1</w:t>
            </w:r>
            <w:r w:rsidDel="00000000" w:rsidR="00000000" w:rsidRPr="00000000">
              <w:rPr>
                <w:rtl w:val="0"/>
              </w:rPr>
              <w:t xml:space="preserve">5</w:t>
            </w:r>
            <w:r w:rsidDel="00000000" w:rsidR="00000000" w:rsidRPr="00000000">
              <w:rPr>
                <w:rFonts w:ascii="Calibri" w:cs="Calibri" w:eastAsia="Calibri" w:hAnsi="Calibri"/>
                <w:rtl w:val="0"/>
              </w:rPr>
              <w:t xml:space="preserve"> puncte</w:t>
            </w:r>
          </w:p>
          <w:p w:rsidR="00000000" w:rsidDel="00000000" w:rsidP="00000000" w:rsidRDefault="00000000" w:rsidRPr="00000000" w14:paraId="00000012">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nu este cunoscută pe piață și/sau nu au o reputație bună – 0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3">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30</w:t>
            </w:r>
          </w:p>
        </w:tc>
      </w:tr>
      <w:tr>
        <w:trPr>
          <w:cantSplit w:val="0"/>
          <w:trHeight w:val="16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4">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5">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Compania a prezentat cel puțin 3 contracte/ procese verbale de finalizare a unor lucrări similare.</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3 contracte - 15 puncte, 5 puncte pentru fiecare proces verbal suplimentar prezentat, până la maxim 30 de puncte; mai puțin de 3 procese verbale – 0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7">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30</w:t>
            </w:r>
          </w:p>
        </w:tc>
      </w:tr>
      <w:tr>
        <w:trPr>
          <w:cantSplit w:val="0"/>
          <w:trHeight w:val="58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8">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spacing w:before="60" w:lineRule="auto"/>
              <w:jc w:val="center"/>
              <w:rPr>
                <w:rFonts w:ascii="Calibri" w:cs="Calibri" w:eastAsia="Calibri" w:hAnsi="Calibri"/>
              </w:rPr>
            </w:pPr>
            <w:r w:rsidDel="00000000" w:rsidR="00000000" w:rsidRPr="00000000">
              <w:rPr>
                <w:rFonts w:ascii="Calibri" w:cs="Calibri" w:eastAsia="Calibri" w:hAnsi="Calibri"/>
                <w:rtl w:val="0"/>
              </w:rPr>
              <w:t xml:space="preserve">3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1F">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Corespunderea ofertei cerințelor tehnice solicitate</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Au fost abordate în detaliu aspectele importante ale sarcinii? Sunt componentele proiectului, precum - abordarea tehnică privind implementarea sarcinii, abordarea managerială, includerea în anexele la Specificațiile tehnice tuturor utilajele, echipamentele, mijloacele de transport, bazele de producție necesare, - prezentate și echilibrate corespunzător între ele?  A fost prezentată lista de personal și experiența acestuia, necesar pentru îndeplinirea lucrărilor de acest gen?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demonstrează o înțelegere solidă a sarcinii. Majoritatea aspectelor importante sunt acoperite în detaliu, iar componentele sunt bine echilibrate, cu mici aspecte de îmbunătățit – până la 40 puncte</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indică o înțelegere parțială a sarcinii. Unele aspecte importante sunt abordate, însă lipsesc multe detalii. Componentele sunt oarecum echilibrate, dar necesită ajustări semnificative – până la 25 puncte </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Propunerea demonstrează o înțelegere minimă a sarcinii. Foarte puține aspecte importante sunt abordate, lipsesc majoritatea detaliilor, iar componentele sunt dezechilibrate și necesită revizuiri substanțiale – 0 puncte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4">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40</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5">
            <w:pPr>
              <w:spacing w:before="60" w:lineRule="auto"/>
              <w:jc w:val="right"/>
              <w:rPr>
                <w:rFonts w:ascii="Calibri" w:cs="Calibri" w:eastAsia="Calibri" w:hAnsi="Calibri"/>
              </w:rPr>
            </w:pPr>
            <w:r w:rsidDel="00000000" w:rsidR="00000000" w:rsidRPr="00000000">
              <w:rPr>
                <w:rFonts w:ascii="Calibri" w:cs="Calibri" w:eastAsia="Calibri" w:hAnsi="Calibri"/>
                <w:rtl w:val="0"/>
              </w:rPr>
              <w:t xml:space="preserve">Total max. puncte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7">
            <w:pPr>
              <w:spacing w:before="6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100</w:t>
            </w:r>
          </w:p>
        </w:tc>
      </w:tr>
    </w:tbl>
    <w:p w:rsidR="00000000" w:rsidDel="00000000" w:rsidP="00000000" w:rsidRDefault="00000000" w:rsidRPr="00000000" w14:paraId="00000028">
      <w:pPr>
        <w:spacing w:after="240" w:before="240" w:line="276" w:lineRule="auto"/>
        <w:jc w:val="both"/>
        <w:rPr>
          <w:rFonts w:ascii="Calibri" w:cs="Calibri" w:eastAsia="Calibri" w:hAnsi="Calibri"/>
        </w:rPr>
      </w:pPr>
      <w:r w:rsidDel="00000000" w:rsidR="00000000" w:rsidRPr="00000000">
        <w:rPr>
          <w:b w:val="1"/>
          <w:bCs w:val="1"/>
          <w:rtl w:val="0"/>
        </w:rPr>
        <w:t xml:space="preserve">Compania care obține un punctaj mai mare decât 0 la fiecare dintre criteriile 1 - 3 și acumulează cel mai mare scor combinat va fi desemnată câștigătoarea licitației.  </w:t>
      </w:r>
      <w:r w:rsidDel="00000000" w:rsidR="00000000" w:rsidRPr="00000000">
        <w:rPr>
          <w:rFonts w:ascii="Calibri" w:cs="Calibri" w:eastAsia="Calibri" w:hAnsi="Calibri"/>
          <w:rtl w:val="0"/>
        </w:rPr>
        <w:t xml:space="preserve">              </w:t>
      </w:r>
    </w:p>
    <w:p w:rsidR="00000000" w:rsidDel="00000000" w:rsidP="00000000" w:rsidRDefault="00000000" w:rsidRPr="00000000" w14:paraId="00000029">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În cadrul Criteriului 1. ”Reputația ofertanților” va fi evaluată inclusiv performanța trecută a companiei în relația cu alți clienți, în special în cadrul proiectelor de asistență financiară externă, urmând a fi analizate următoarele aspecte:</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before="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compania să nu fie, în momentul depunerii ofertei, sau în perioade anterioare  depunerii prezentei oferte, implicată în procese de livrare de bunuri și servicii în care să se ateste performanța slabă a serviciilor prestate sau calitatea necorespunzătoare a bunurilor, nerespectarea contractelor sau a termenelor de livrare/execuție;</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ind w:left="720" w:hanging="360"/>
        <w:jc w:val="both"/>
        <w:rPr>
          <w:rFonts w:ascii="Calibri" w:cs="Calibri" w:eastAsia="Calibri" w:hAnsi="Calibri"/>
        </w:rPr>
      </w:pPr>
      <w:r w:rsidDel="00000000" w:rsidR="00000000" w:rsidRPr="00000000">
        <w:rPr>
          <w:rFonts w:ascii="Calibri" w:cs="Calibri" w:eastAsia="Calibri" w:hAnsi="Calibri"/>
          <w:rtl w:val="0"/>
        </w:rPr>
        <w:t xml:space="preserve">să nu existe recenzii sau informații din partea PNUD Moldova care să sugereze o  performanță slabă în implementarea proiectelor anterioare, sau practicarea unor prețuri semnificativ mai mici în comparație cu ofertele de pe piață în momentul depuneri ofertelor, urmate ulterior de solicitări de majorare a acestora pe parcursul perioadei de derulare a contractului de livrare a bunurilor și/sau serviciilor.</w:t>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476522</wp:posOffset>
          </wp:positionH>
          <wp:positionV relativeFrom="paragraph">
            <wp:posOffset>-568594</wp:posOffset>
          </wp:positionV>
          <wp:extent cx="5156835" cy="1124585"/>
          <wp:effectExtent b="0" l="0" r="0" t="0"/>
          <wp:wrapSquare wrapText="bothSides" distB="0" distT="0" distL="114300" distR="114300"/>
          <wp:docPr descr="A red and blue flag with black text&#10;&#10;AI-generated content may be incorrect." id="1331279625"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B719E8"/>
    <w:pPr>
      <w:spacing w:after="100" w:afterAutospacing="1" w:before="100" w:beforeAutospacing="1"/>
    </w:pPr>
    <w:rPr>
      <w:rFonts w:ascii="Times New Roman" w:cs="Times New Roman" w:eastAsia="Times New Roman" w:hAnsi="Times New Roman"/>
      <w:lang w:eastAsia="en-GB"/>
    </w:rPr>
  </w:style>
  <w:style w:type="character" w:styleId="Robust">
    <w:name w:val="Strong"/>
    <w:basedOn w:val="Fontdeparagrafimplicit"/>
    <w:uiPriority w:val="22"/>
    <w:qFormat w:val="1"/>
    <w:rsid w:val="00B719E8"/>
    <w:rPr>
      <w:b w:val="1"/>
      <w:bCs w:val="1"/>
    </w:rPr>
  </w:style>
  <w:style w:type="character" w:styleId="Hyperlink">
    <w:name w:val="Hyperlink"/>
    <w:basedOn w:val="Fontdeparagrafimplicit"/>
    <w:uiPriority w:val="99"/>
    <w:unhideWhenUsed w:val="1"/>
    <w:rsid w:val="00B719E8"/>
    <w:rPr>
      <w:color w:val="0000ff"/>
      <w:u w:val="single"/>
    </w:rPr>
  </w:style>
  <w:style w:type="character" w:styleId="Accentuat">
    <w:name w:val="Emphasis"/>
    <w:basedOn w:val="Fontdeparagrafimplicit"/>
    <w:uiPriority w:val="20"/>
    <w:qFormat w:val="1"/>
    <w:rsid w:val="00B719E8"/>
    <w:rPr>
      <w:i w:val="1"/>
      <w:iCs w:val="1"/>
    </w:rPr>
  </w:style>
  <w:style w:type="paragraph" w:styleId="Listparagraf">
    <w:name w:val="List Paragraph"/>
    <w:basedOn w:val="Normal"/>
    <w:uiPriority w:val="34"/>
    <w:qFormat w:val="1"/>
    <w:rsid w:val="002C6E35"/>
    <w:pPr>
      <w:ind w:left="720"/>
      <w:contextualSpacing w:val="1"/>
    </w:pPr>
  </w:style>
  <w:style w:type="character" w:styleId="MeniuneNerezolvat">
    <w:name w:val="Unresolved Mention"/>
    <w:basedOn w:val="Fontdeparagrafimplicit"/>
    <w:uiPriority w:val="99"/>
    <w:semiHidden w:val="1"/>
    <w:unhideWhenUsed w:val="1"/>
    <w:rsid w:val="00A76489"/>
    <w:rPr>
      <w:color w:val="605e5c"/>
      <w:shd w:color="auto" w:fill="e1dfdd" w:val="clear"/>
    </w:rPr>
  </w:style>
  <w:style w:type="character" w:styleId="HyperlinkParcurs">
    <w:name w:val="FollowedHyperlink"/>
    <w:basedOn w:val="Fontdeparagrafimplicit"/>
    <w:uiPriority w:val="99"/>
    <w:semiHidden w:val="1"/>
    <w:unhideWhenUsed w:val="1"/>
    <w:rsid w:val="005052A1"/>
    <w:rPr>
      <w:color w:val="954f72" w:themeColor="followedHyperlink"/>
      <w:u w:val="single"/>
    </w:rPr>
  </w:style>
  <w:style w:type="table" w:styleId="Tabelgril">
    <w:name w:val="Table Grid"/>
    <w:basedOn w:val="TabelNormal"/>
    <w:uiPriority w:val="39"/>
    <w:rsid w:val="00C30F49"/>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ntet">
    <w:name w:val="header"/>
    <w:basedOn w:val="Normal"/>
    <w:link w:val="AntetCaracter"/>
    <w:uiPriority w:val="99"/>
    <w:unhideWhenUsed w:val="1"/>
    <w:rsid w:val="009F4E49"/>
    <w:pPr>
      <w:tabs>
        <w:tab w:val="center" w:pos="4513"/>
        <w:tab w:val="right" w:pos="9026"/>
      </w:tabs>
    </w:pPr>
  </w:style>
  <w:style w:type="character" w:styleId="AntetCaracter" w:customStyle="1">
    <w:name w:val="Antet Caracter"/>
    <w:basedOn w:val="Fontdeparagrafimplicit"/>
    <w:link w:val="Antet"/>
    <w:uiPriority w:val="99"/>
    <w:rsid w:val="009F4E49"/>
  </w:style>
  <w:style w:type="paragraph" w:styleId="Subsol">
    <w:name w:val="footer"/>
    <w:basedOn w:val="Normal"/>
    <w:link w:val="SubsolCaracter"/>
    <w:uiPriority w:val="99"/>
    <w:unhideWhenUsed w:val="1"/>
    <w:rsid w:val="009F4E49"/>
    <w:pPr>
      <w:tabs>
        <w:tab w:val="center" w:pos="4513"/>
        <w:tab w:val="right" w:pos="9026"/>
      </w:tabs>
    </w:pPr>
  </w:style>
  <w:style w:type="character" w:styleId="SubsolCaracter" w:customStyle="1">
    <w:name w:val="Subsol Caracter"/>
    <w:basedOn w:val="Fontdeparagrafimplicit"/>
    <w:link w:val="Subsol"/>
    <w:uiPriority w:val="99"/>
    <w:rsid w:val="009F4E49"/>
  </w:style>
  <w:style w:type="paragraph" w:styleId="Revizuire">
    <w:name w:val="Revision"/>
    <w:hidden w:val="1"/>
    <w:uiPriority w:val="99"/>
    <w:semiHidden w:val="1"/>
    <w:rsid w:val="000C5B5B"/>
  </w:style>
  <w:style w:type="table" w:styleId="a" w:customStyle="1">
    <w:basedOn w:val="TabelNormal"/>
    <w:tblPr>
      <w:tblStyleRowBandSize w:val="1"/>
      <w:tblStyleColBandSize w:val="1"/>
    </w:tblPr>
  </w:style>
  <w:style w:type="table" w:styleId="a0" w:customStyle="1">
    <w:basedOn w:val="Tabel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gGRsGXVYriU5hVWTOcB46EzsQ==">CgMxLjA4AHIhMXcydlMwVzFTOXM2WmJscDBUNW9TVG0yLWt3d2pHQzY0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2025-12-18T08:45:00Z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Order">
    <vt:r8>3.47817E7</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