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43A4" w14:textId="77777777" w:rsidR="0091364B" w:rsidRDefault="0091364B" w:rsidP="0091364B">
      <w:pPr>
        <w:spacing w:after="120" w:line="240" w:lineRule="auto"/>
        <w:jc w:val="center"/>
        <w:rPr>
          <w:rFonts w:ascii="Gill Sans Nova" w:eastAsiaTheme="minorEastAsia" w:hAnsi="Gill Sans Nova"/>
          <w:smallCaps/>
          <w:color w:val="4472C4"/>
          <w:sz w:val="28"/>
          <w:szCs w:val="28"/>
        </w:rPr>
      </w:pPr>
    </w:p>
    <w:p w14:paraId="3EC9DB85" w14:textId="6CF05B53" w:rsidR="00125E07" w:rsidRDefault="24D80BAF" w:rsidP="0091364B">
      <w:pPr>
        <w:spacing w:after="120" w:line="240" w:lineRule="auto"/>
        <w:jc w:val="center"/>
        <w:rPr>
          <w:rFonts w:ascii="Gill Sans Nova" w:eastAsiaTheme="minorEastAsia" w:hAnsi="Gill Sans Nova"/>
          <w:smallCaps/>
          <w:color w:val="4472C4"/>
          <w:sz w:val="32"/>
          <w:szCs w:val="32"/>
        </w:rPr>
      </w:pPr>
      <w:r w:rsidRPr="0091364B">
        <w:rPr>
          <w:rFonts w:ascii="Gill Sans Nova" w:eastAsiaTheme="minorEastAsia" w:hAnsi="Gill Sans Nova"/>
          <w:smallCaps/>
          <w:color w:val="4472C4"/>
          <w:sz w:val="32"/>
          <w:szCs w:val="32"/>
        </w:rPr>
        <w:t xml:space="preserve">IOM Mission – </w:t>
      </w:r>
      <w:r w:rsidR="009C46B2">
        <w:rPr>
          <w:rFonts w:ascii="Gill Sans Nova" w:eastAsiaTheme="minorEastAsia" w:hAnsi="Gill Sans Nova"/>
          <w:smallCaps/>
          <w:color w:val="4472C4"/>
          <w:sz w:val="32"/>
          <w:szCs w:val="32"/>
        </w:rPr>
        <w:t>Moldova</w:t>
      </w:r>
    </w:p>
    <w:tbl>
      <w:tblPr>
        <w:tblStyle w:val="TableGrid"/>
        <w:tblW w:w="0" w:type="auto"/>
        <w:shd w:val="clear" w:color="auto" w:fill="548DD4" w:themeFill="text2" w:themeFillTint="99"/>
        <w:tblLook w:val="04A0" w:firstRow="1" w:lastRow="0" w:firstColumn="1" w:lastColumn="0" w:noHBand="0" w:noVBand="1"/>
      </w:tblPr>
      <w:tblGrid>
        <w:gridCol w:w="10470"/>
      </w:tblGrid>
      <w:tr w:rsidR="00125E07" w14:paraId="781F18B9" w14:textId="77777777" w:rsidTr="00125E07">
        <w:tc>
          <w:tcPr>
            <w:tcW w:w="10470" w:type="dxa"/>
            <w:shd w:val="clear" w:color="auto" w:fill="548DD4" w:themeFill="text2" w:themeFillTint="99"/>
          </w:tcPr>
          <w:p w14:paraId="7BD6BD0A" w14:textId="00D1145B" w:rsidR="00125E07" w:rsidRPr="00D12A7D" w:rsidRDefault="00125E07" w:rsidP="00125E07">
            <w:pPr>
              <w:spacing w:after="120"/>
              <w:jc w:val="center"/>
              <w:rPr>
                <w:rFonts w:ascii="Gill Sans Nova" w:eastAsia="Arial" w:hAnsi="Gill Sans Nova"/>
                <w:smallCaps/>
                <w:color w:val="FFFFFF" w:themeColor="background1"/>
                <w:sz w:val="36"/>
                <w:szCs w:val="36"/>
              </w:rPr>
            </w:pPr>
            <w:r w:rsidRPr="00D12A7D">
              <w:rPr>
                <w:rFonts w:ascii="Gill Sans Nova" w:eastAsia="Arial" w:hAnsi="Gill Sans Nova"/>
                <w:b/>
                <w:bCs/>
                <w:smallCaps/>
                <w:color w:val="FFFFFF" w:themeColor="background1"/>
                <w:sz w:val="36"/>
                <w:szCs w:val="36"/>
              </w:rPr>
              <w:t>Call for Expression of Interest (CEI)</w:t>
            </w:r>
          </w:p>
        </w:tc>
      </w:tr>
    </w:tbl>
    <w:p w14:paraId="3791328F" w14:textId="77777777" w:rsidR="0024366C" w:rsidRDefault="0024366C" w:rsidP="0091364B">
      <w:pPr>
        <w:spacing w:after="120" w:line="240" w:lineRule="auto"/>
        <w:rPr>
          <w:rFonts w:cstheme="minorHAnsi"/>
        </w:rPr>
      </w:pPr>
    </w:p>
    <w:p w14:paraId="5DA515EC" w14:textId="77777777" w:rsidR="00516718" w:rsidRPr="00516718" w:rsidRDefault="00516718" w:rsidP="00516718">
      <w:pPr>
        <w:spacing w:after="120" w:line="240" w:lineRule="auto"/>
        <w:jc w:val="center"/>
        <w:rPr>
          <w:rFonts w:cstheme="minorHAnsi"/>
          <w:b/>
          <w:bCs/>
          <w:i/>
          <w:iCs/>
          <w:sz w:val="24"/>
          <w:szCs w:val="24"/>
          <w:lang w:val="en-GB"/>
        </w:rPr>
      </w:pPr>
      <w:r w:rsidRPr="00516718">
        <w:rPr>
          <w:rFonts w:eastAsia="Calibri"/>
          <w:b/>
          <w:bCs/>
          <w:i/>
          <w:iCs/>
          <w:color w:val="000000" w:themeColor="text1"/>
          <w:sz w:val="24"/>
          <w:szCs w:val="24"/>
        </w:rPr>
        <w:t>To develop community-based outreach and awareness campaigns to support MIA reforms and Moldova’s EU accession efforts</w:t>
      </w:r>
      <w:r w:rsidRPr="00516718" w:rsidDel="00694597">
        <w:rPr>
          <w:b/>
          <w:bCs/>
          <w:i/>
          <w:iCs/>
          <w:sz w:val="24"/>
          <w:szCs w:val="24"/>
          <w:lang w:val="en-GB"/>
        </w:rPr>
        <w:t xml:space="preserve"> </w:t>
      </w:r>
    </w:p>
    <w:p w14:paraId="584D5B89" w14:textId="77777777" w:rsidR="0024366C" w:rsidRPr="00D00051" w:rsidRDefault="00C529A8" w:rsidP="0091364B">
      <w:pPr>
        <w:tabs>
          <w:tab w:val="left" w:pos="840"/>
        </w:tabs>
        <w:spacing w:after="120" w:line="240" w:lineRule="auto"/>
        <w:rPr>
          <w:rFonts w:eastAsia="Arial" w:cstheme="minorHAnsi"/>
        </w:rPr>
      </w:pPr>
      <w:r w:rsidRPr="00D00051">
        <w:rPr>
          <w:rFonts w:eastAsia="Arial" w:cstheme="minorHAnsi"/>
          <w:position w:val="-1"/>
        </w:rPr>
        <w:t>1</w:t>
      </w:r>
      <w:r w:rsidRPr="00D00051">
        <w:rPr>
          <w:rFonts w:eastAsia="Arial" w:cstheme="minorHAnsi"/>
          <w:position w:val="-1"/>
        </w:rPr>
        <w:tab/>
      </w:r>
      <w:r w:rsidRPr="00D00051">
        <w:rPr>
          <w:rFonts w:eastAsia="Arial" w:cstheme="minorHAnsi"/>
          <w:b/>
          <w:bCs/>
          <w:i/>
          <w:position w:val="3"/>
        </w:rPr>
        <w:t>Timeline</w:t>
      </w:r>
    </w:p>
    <w:tbl>
      <w:tblPr>
        <w:tblW w:w="9180" w:type="dxa"/>
        <w:tblInd w:w="897" w:type="dxa"/>
        <w:tblLayout w:type="fixed"/>
        <w:tblCellMar>
          <w:left w:w="0" w:type="dxa"/>
          <w:right w:w="0" w:type="dxa"/>
        </w:tblCellMar>
        <w:tblLook w:val="01E0" w:firstRow="1" w:lastRow="1" w:firstColumn="1" w:lastColumn="1" w:noHBand="0" w:noVBand="0"/>
      </w:tblPr>
      <w:tblGrid>
        <w:gridCol w:w="3600"/>
        <w:gridCol w:w="5580"/>
      </w:tblGrid>
      <w:tr w:rsidR="00D00051" w:rsidRPr="00D00051" w14:paraId="339E3C07" w14:textId="77777777" w:rsidTr="00E431FD">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6B5E879D" w14:textId="3BA20C96" w:rsidR="00D00051" w:rsidRPr="009A163E" w:rsidRDefault="00D00051" w:rsidP="0091364B">
            <w:pPr>
              <w:spacing w:after="120" w:line="240" w:lineRule="auto"/>
              <w:rPr>
                <w:rFonts w:eastAsia="Arial" w:cstheme="minorHAnsi"/>
                <w:b/>
                <w:bCs/>
                <w:color w:val="FFFFFF"/>
                <w:sz w:val="24"/>
                <w:szCs w:val="24"/>
              </w:rPr>
            </w:pPr>
            <w:r w:rsidRPr="009A163E">
              <w:rPr>
                <w:rFonts w:eastAsia="Arial" w:cstheme="minorHAnsi"/>
                <w:b/>
                <w:bCs/>
                <w:color w:val="FFFFFF"/>
                <w:sz w:val="24"/>
                <w:szCs w:val="24"/>
              </w:rPr>
              <w:t>C</w:t>
            </w:r>
            <w:r w:rsidR="00AD04C2">
              <w:rPr>
                <w:rFonts w:eastAsia="Arial" w:cstheme="minorHAnsi"/>
                <w:b/>
                <w:bCs/>
                <w:color w:val="FFFFFF"/>
                <w:sz w:val="24"/>
                <w:szCs w:val="24"/>
              </w:rPr>
              <w:t>EI Reference number</w:t>
            </w:r>
          </w:p>
        </w:tc>
        <w:tc>
          <w:tcPr>
            <w:tcW w:w="55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85947D" w14:textId="1F05F552" w:rsidR="00D00051" w:rsidRPr="009F2604" w:rsidRDefault="009F2604" w:rsidP="0091364B">
            <w:pPr>
              <w:spacing w:after="120" w:line="240" w:lineRule="auto"/>
              <w:rPr>
                <w:rFonts w:eastAsia="Arial" w:cstheme="minorHAnsi"/>
                <w:b/>
                <w:bCs/>
                <w:i/>
                <w:iCs/>
              </w:rPr>
            </w:pPr>
            <w:r>
              <w:rPr>
                <w:rFonts w:eastAsia="Arial" w:cstheme="minorHAnsi"/>
              </w:rPr>
              <w:t xml:space="preserve"> </w:t>
            </w:r>
            <w:r w:rsidRPr="009F2604">
              <w:rPr>
                <w:rFonts w:eastAsia="Arial" w:cstheme="minorHAnsi"/>
                <w:i/>
                <w:iCs/>
              </w:rPr>
              <w:t>CEI-MD10-2025-005</w:t>
            </w:r>
          </w:p>
        </w:tc>
      </w:tr>
      <w:tr w:rsidR="0024366C" w:rsidRPr="00D00051" w14:paraId="3DFC9E05" w14:textId="77777777" w:rsidTr="00E431FD">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FAA2CF3" w14:textId="67E8C539" w:rsidR="0024366C" w:rsidRPr="009A163E" w:rsidRDefault="00C529A8" w:rsidP="0091364B">
            <w:pPr>
              <w:spacing w:after="120" w:line="240" w:lineRule="auto"/>
              <w:rPr>
                <w:rFonts w:eastAsia="Arial" w:cstheme="minorHAnsi"/>
                <w:b/>
                <w:bCs/>
                <w:sz w:val="24"/>
                <w:szCs w:val="24"/>
              </w:rPr>
            </w:pPr>
            <w:r w:rsidRPr="009A163E">
              <w:rPr>
                <w:rFonts w:eastAsia="Arial" w:cstheme="minorHAnsi"/>
                <w:b/>
                <w:bCs/>
                <w:color w:val="FFFFFF"/>
                <w:sz w:val="24"/>
                <w:szCs w:val="24"/>
              </w:rPr>
              <w:t>Posted</w:t>
            </w:r>
            <w:r w:rsidR="00D00051" w:rsidRPr="009A163E">
              <w:rPr>
                <w:rFonts w:eastAsia="Arial" w:cstheme="minorHAnsi"/>
                <w:b/>
                <w:bCs/>
                <w:color w:val="FFFFFF"/>
                <w:sz w:val="24"/>
                <w:szCs w:val="24"/>
              </w:rPr>
              <w:t xml:space="preserve"> (date)</w:t>
            </w:r>
          </w:p>
        </w:tc>
        <w:tc>
          <w:tcPr>
            <w:tcW w:w="55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8B3852" w14:textId="5AB54FA3" w:rsidR="0024366C" w:rsidRPr="00D00051" w:rsidRDefault="009F2604" w:rsidP="0091364B">
            <w:pPr>
              <w:spacing w:after="120" w:line="240" w:lineRule="auto"/>
              <w:rPr>
                <w:rFonts w:eastAsia="Arial" w:cstheme="minorHAnsi"/>
              </w:rPr>
            </w:pPr>
            <w:r>
              <w:rPr>
                <w:rFonts w:eastAsia="Arial" w:cstheme="minorHAnsi"/>
              </w:rPr>
              <w:t xml:space="preserve"> </w:t>
            </w:r>
            <w:r w:rsidR="00516718">
              <w:rPr>
                <w:rFonts w:eastAsia="Arial" w:cstheme="minorHAnsi"/>
              </w:rPr>
              <w:t>24 November 2025</w:t>
            </w:r>
          </w:p>
        </w:tc>
      </w:tr>
      <w:tr w:rsidR="0024366C" w:rsidRPr="00D00051" w14:paraId="04C50E9A" w14:textId="77777777" w:rsidTr="00E431FD">
        <w:trPr>
          <w:trHeight w:hRule="exact" w:val="1805"/>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F4705F4" w14:textId="77777777" w:rsidR="0024366C" w:rsidRPr="009A163E" w:rsidRDefault="00C529A8" w:rsidP="0091364B">
            <w:pPr>
              <w:spacing w:after="120" w:line="240" w:lineRule="auto"/>
              <w:rPr>
                <w:rFonts w:eastAsia="Arial" w:cstheme="minorHAnsi"/>
                <w:b/>
                <w:bCs/>
                <w:sz w:val="24"/>
                <w:szCs w:val="24"/>
              </w:rPr>
            </w:pPr>
            <w:r w:rsidRPr="009A163E">
              <w:rPr>
                <w:rFonts w:eastAsia="Arial" w:cstheme="minorHAnsi"/>
                <w:b/>
                <w:bCs/>
                <w:color w:val="FFFFFF"/>
                <w:sz w:val="24"/>
                <w:szCs w:val="24"/>
              </w:rPr>
              <w:t>Clarification Request Deadline</w:t>
            </w:r>
          </w:p>
        </w:tc>
        <w:tc>
          <w:tcPr>
            <w:tcW w:w="55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523287" w14:textId="29C5BE5C" w:rsidR="00516718" w:rsidRDefault="00516718" w:rsidP="00516718">
            <w:pPr>
              <w:spacing w:after="120" w:line="240" w:lineRule="auto"/>
              <w:rPr>
                <w:rFonts w:eastAsia="Arial" w:cstheme="minorHAnsi"/>
              </w:rPr>
            </w:pPr>
            <w:r>
              <w:rPr>
                <w:rFonts w:eastAsia="Arial" w:cstheme="minorHAnsi"/>
              </w:rPr>
              <w:t xml:space="preserve"> 09 December 2025 </w:t>
            </w:r>
          </w:p>
          <w:p w14:paraId="5F77107A" w14:textId="5B1936A5" w:rsidR="00516718" w:rsidRDefault="00516718" w:rsidP="00516718">
            <w:pPr>
              <w:spacing w:after="120" w:line="240" w:lineRule="auto"/>
              <w:rPr>
                <w:rFonts w:eastAsia="Arial"/>
                <w:lang w:val="en-GB"/>
              </w:rPr>
            </w:pPr>
            <w:r>
              <w:rPr>
                <w:rFonts w:eastAsiaTheme="minorEastAsia"/>
                <w:lang w:val="en-GB"/>
              </w:rPr>
              <w:t>For additional c</w:t>
            </w:r>
            <w:r w:rsidRPr="797756BB">
              <w:rPr>
                <w:rFonts w:eastAsiaTheme="minorEastAsia"/>
                <w:lang w:val="en-GB"/>
              </w:rPr>
              <w:t xml:space="preserve">larification requests regarding any provision/item </w:t>
            </w:r>
            <w:r w:rsidRPr="7E0D77A8">
              <w:rPr>
                <w:rFonts w:eastAsiaTheme="minorEastAsia"/>
                <w:lang w:val="en-GB"/>
              </w:rPr>
              <w:t xml:space="preserve">in this </w:t>
            </w:r>
            <w:r>
              <w:rPr>
                <w:rFonts w:eastAsiaTheme="minorEastAsia"/>
                <w:lang w:val="en-GB"/>
              </w:rPr>
              <w:t>Call for Expression of Interest (</w:t>
            </w:r>
            <w:r w:rsidRPr="5A70550A">
              <w:rPr>
                <w:rFonts w:eastAsiaTheme="minorEastAsia"/>
                <w:lang w:val="en-GB"/>
              </w:rPr>
              <w:t>CEI</w:t>
            </w:r>
            <w:r>
              <w:rPr>
                <w:rFonts w:eastAsiaTheme="minorEastAsia"/>
                <w:lang w:val="en-GB"/>
              </w:rPr>
              <w:t>)</w:t>
            </w:r>
            <w:r w:rsidRPr="5A70550A">
              <w:rPr>
                <w:rFonts w:eastAsiaTheme="minorEastAsia"/>
                <w:lang w:val="en-GB"/>
              </w:rPr>
              <w:t xml:space="preserve"> </w:t>
            </w:r>
            <w:r w:rsidRPr="629F0F82">
              <w:rPr>
                <w:rFonts w:eastAsiaTheme="minorEastAsia"/>
                <w:lang w:val="en-GB"/>
              </w:rPr>
              <w:t>document</w:t>
            </w:r>
            <w:r w:rsidRPr="2E2DD9F1">
              <w:rPr>
                <w:rFonts w:eastAsiaTheme="minorEastAsia"/>
                <w:lang w:val="en-GB"/>
              </w:rPr>
              <w:t xml:space="preserve"> </w:t>
            </w:r>
            <w:r w:rsidRPr="797756BB">
              <w:rPr>
                <w:rFonts w:eastAsiaTheme="minorEastAsia"/>
                <w:lang w:val="en-GB"/>
              </w:rPr>
              <w:t xml:space="preserve">should be sent in writing </w:t>
            </w:r>
            <w:r w:rsidRPr="7830B9B4">
              <w:rPr>
                <w:rFonts w:eastAsiaTheme="minorEastAsia"/>
                <w:lang w:val="en-GB"/>
              </w:rPr>
              <w:t>to</w:t>
            </w:r>
            <w:r>
              <w:rPr>
                <w:rFonts w:eastAsiaTheme="minorEastAsia"/>
                <w:lang w:val="en-GB"/>
              </w:rPr>
              <w:t xml:space="preserve"> </w:t>
            </w:r>
            <w:hyperlink r:id="rId10" w:history="1">
              <w:r>
                <w:rPr>
                  <w:rStyle w:val="Hyperlink"/>
                  <w:b/>
                </w:rPr>
                <w:t>iomchisinau</w:t>
              </w:r>
              <w:r w:rsidRPr="006D1BF7">
                <w:rPr>
                  <w:rStyle w:val="Hyperlink"/>
                  <w:b/>
                </w:rPr>
                <w:t>@iom.int</w:t>
              </w:r>
            </w:hyperlink>
            <w:r w:rsidRPr="113CB31A">
              <w:rPr>
                <w:rFonts w:eastAsiaTheme="minorEastAsia"/>
                <w:lang w:val="en-GB"/>
              </w:rPr>
              <w:t xml:space="preserve"> at</w:t>
            </w:r>
            <w:r w:rsidRPr="797756BB">
              <w:rPr>
                <w:rFonts w:eastAsiaTheme="minorEastAsia"/>
                <w:lang w:val="en-GB"/>
              </w:rPr>
              <w:t xml:space="preserve"> least </w:t>
            </w:r>
            <w:r>
              <w:rPr>
                <w:rFonts w:eastAsiaTheme="minorEastAsia"/>
                <w:lang w:val="en-GB"/>
              </w:rPr>
              <w:t>1 (one)</w:t>
            </w:r>
            <w:r w:rsidRPr="797756BB">
              <w:rPr>
                <w:rFonts w:eastAsiaTheme="minorEastAsia"/>
                <w:lang w:val="en-GB"/>
              </w:rPr>
              <w:t xml:space="preserve"> </w:t>
            </w:r>
            <w:r>
              <w:rPr>
                <w:rFonts w:eastAsiaTheme="minorEastAsia"/>
                <w:lang w:val="en-GB"/>
              </w:rPr>
              <w:t>week</w:t>
            </w:r>
            <w:r w:rsidRPr="421A69D0">
              <w:rPr>
                <w:rFonts w:eastAsiaTheme="minorEastAsia"/>
                <w:lang w:val="en-GB"/>
              </w:rPr>
              <w:t xml:space="preserve"> before the </w:t>
            </w:r>
            <w:r w:rsidRPr="56A6D36F">
              <w:rPr>
                <w:rFonts w:eastAsiaTheme="minorEastAsia"/>
                <w:lang w:val="en-GB"/>
              </w:rPr>
              <w:t>Application deadline</w:t>
            </w:r>
          </w:p>
          <w:p w14:paraId="2B5E3D33" w14:textId="75C00CE8" w:rsidR="0024366C" w:rsidRPr="00516718" w:rsidRDefault="0024366C" w:rsidP="0091364B">
            <w:pPr>
              <w:spacing w:after="120" w:line="240" w:lineRule="auto"/>
              <w:rPr>
                <w:rFonts w:eastAsia="Arial" w:cstheme="minorHAnsi"/>
                <w:lang w:val="en-GB"/>
              </w:rPr>
            </w:pPr>
          </w:p>
          <w:p w14:paraId="1BEEF95D" w14:textId="77777777" w:rsidR="00516718" w:rsidRDefault="00516718" w:rsidP="0091364B">
            <w:pPr>
              <w:spacing w:after="120" w:line="240" w:lineRule="auto"/>
              <w:rPr>
                <w:rFonts w:eastAsia="Arial" w:cstheme="minorHAnsi"/>
              </w:rPr>
            </w:pPr>
          </w:p>
          <w:p w14:paraId="02BC16D8" w14:textId="2A72D62F" w:rsidR="00516718" w:rsidRPr="00D00051" w:rsidRDefault="00516718" w:rsidP="0091364B">
            <w:pPr>
              <w:spacing w:after="120" w:line="240" w:lineRule="auto"/>
              <w:rPr>
                <w:rFonts w:eastAsia="Arial" w:cstheme="minorHAnsi"/>
              </w:rPr>
            </w:pPr>
          </w:p>
        </w:tc>
      </w:tr>
      <w:tr w:rsidR="0024366C" w:rsidRPr="00D00051" w14:paraId="27061400" w14:textId="77777777" w:rsidTr="00E431FD">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6CDCAEB" w14:textId="77777777" w:rsidR="0024366C" w:rsidRPr="009A163E" w:rsidRDefault="00C529A8" w:rsidP="0091364B">
            <w:pPr>
              <w:spacing w:after="120" w:line="240" w:lineRule="auto"/>
              <w:rPr>
                <w:rFonts w:eastAsia="Arial" w:cstheme="minorHAnsi"/>
                <w:b/>
                <w:bCs/>
                <w:sz w:val="24"/>
                <w:szCs w:val="24"/>
              </w:rPr>
            </w:pPr>
            <w:r w:rsidRPr="009A163E">
              <w:rPr>
                <w:rFonts w:eastAsia="Arial" w:cstheme="minorHAnsi"/>
                <w:b/>
                <w:bCs/>
                <w:color w:val="FFFFFF"/>
                <w:sz w:val="24"/>
                <w:szCs w:val="24"/>
              </w:rPr>
              <w:t>Application Deadline</w:t>
            </w:r>
          </w:p>
        </w:tc>
        <w:tc>
          <w:tcPr>
            <w:tcW w:w="55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EE60D7" w14:textId="4222B9FE" w:rsidR="0024366C" w:rsidRPr="00D00051" w:rsidRDefault="00516718" w:rsidP="0091364B">
            <w:pPr>
              <w:spacing w:after="120" w:line="240" w:lineRule="auto"/>
              <w:rPr>
                <w:rFonts w:eastAsia="Arial" w:cstheme="minorHAnsi"/>
              </w:rPr>
            </w:pPr>
            <w:r>
              <w:rPr>
                <w:rFonts w:eastAsia="Arial" w:cstheme="minorHAnsi"/>
              </w:rPr>
              <w:t xml:space="preserve"> 24 December 2025 COB – 18:00 (GMT+3)</w:t>
            </w:r>
          </w:p>
        </w:tc>
      </w:tr>
      <w:tr w:rsidR="0024366C" w:rsidRPr="00D00051" w14:paraId="52E59E6E" w14:textId="77777777" w:rsidTr="00E431FD">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2F3A17D9" w14:textId="53857B6B" w:rsidR="0024366C" w:rsidRPr="009A163E" w:rsidRDefault="00C529A8" w:rsidP="0091364B">
            <w:pPr>
              <w:tabs>
                <w:tab w:val="center" w:pos="2713"/>
              </w:tabs>
              <w:spacing w:after="120" w:line="240" w:lineRule="auto"/>
              <w:rPr>
                <w:rFonts w:eastAsia="Arial" w:cstheme="minorHAnsi"/>
                <w:b/>
                <w:bCs/>
                <w:sz w:val="24"/>
                <w:szCs w:val="24"/>
              </w:rPr>
            </w:pPr>
            <w:r w:rsidRPr="009A163E">
              <w:rPr>
                <w:rFonts w:eastAsia="Arial" w:cstheme="minorHAnsi"/>
                <w:b/>
                <w:bCs/>
                <w:color w:val="FFFFFF"/>
                <w:sz w:val="24"/>
                <w:szCs w:val="24"/>
              </w:rPr>
              <w:t>Notification of Results</w:t>
            </w:r>
            <w:r w:rsidR="00345965" w:rsidRPr="009A163E">
              <w:rPr>
                <w:rFonts w:eastAsia="Arial" w:cstheme="minorHAnsi"/>
                <w:b/>
                <w:bCs/>
                <w:color w:val="FFFFFF"/>
                <w:sz w:val="24"/>
                <w:szCs w:val="24"/>
              </w:rPr>
              <w:tab/>
            </w:r>
          </w:p>
        </w:tc>
        <w:tc>
          <w:tcPr>
            <w:tcW w:w="55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B19D1F" w14:textId="0617C566" w:rsidR="0024366C" w:rsidRPr="00D00051" w:rsidRDefault="00516718" w:rsidP="0091364B">
            <w:pPr>
              <w:spacing w:after="120" w:line="240" w:lineRule="auto"/>
              <w:rPr>
                <w:rFonts w:eastAsia="Arial" w:cstheme="minorHAnsi"/>
              </w:rPr>
            </w:pPr>
            <w:r>
              <w:rPr>
                <w:rFonts w:eastAsia="Arial" w:cstheme="minorHAnsi"/>
              </w:rPr>
              <w:t xml:space="preserve"> </w:t>
            </w:r>
            <w:r w:rsidRPr="65156DA2">
              <w:rPr>
                <w:rFonts w:eastAsia="Arial"/>
                <w:lang w:val="en-GB"/>
              </w:rPr>
              <w:t xml:space="preserve">Within </w:t>
            </w:r>
            <w:r>
              <w:rPr>
                <w:rFonts w:eastAsia="Arial"/>
                <w:lang w:val="en-GB"/>
              </w:rPr>
              <w:t>three</w:t>
            </w:r>
            <w:r w:rsidRPr="65156DA2">
              <w:rPr>
                <w:rFonts w:eastAsia="Arial"/>
                <w:lang w:val="en-GB"/>
              </w:rPr>
              <w:t xml:space="preserve"> weeks following the Application deadline</w:t>
            </w:r>
          </w:p>
        </w:tc>
      </w:tr>
      <w:tr w:rsidR="0024366C" w:rsidRPr="00D00051" w14:paraId="03409089" w14:textId="77777777" w:rsidTr="00E431FD">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DFBB894" w14:textId="7DED59B1" w:rsidR="0024366C" w:rsidRPr="009A163E" w:rsidRDefault="6881C3CE" w:rsidP="0091364B">
            <w:pPr>
              <w:spacing w:after="120" w:line="240" w:lineRule="auto"/>
              <w:rPr>
                <w:rFonts w:eastAsia="Arial"/>
                <w:b/>
                <w:bCs/>
                <w:sz w:val="24"/>
                <w:szCs w:val="24"/>
              </w:rPr>
            </w:pPr>
            <w:r w:rsidRPr="009A163E">
              <w:rPr>
                <w:rFonts w:eastAsia="Arial"/>
                <w:b/>
                <w:bCs/>
                <w:color w:val="FFFFFF" w:themeColor="background1"/>
                <w:sz w:val="24"/>
                <w:szCs w:val="24"/>
              </w:rPr>
              <w:t>Implementation</w:t>
            </w:r>
            <w:r w:rsidR="00BD6922" w:rsidRPr="009A163E">
              <w:rPr>
                <w:rFonts w:eastAsia="Arial"/>
                <w:b/>
                <w:bCs/>
                <w:color w:val="FFFFFF" w:themeColor="background1"/>
                <w:sz w:val="24"/>
                <w:szCs w:val="24"/>
              </w:rPr>
              <w:t xml:space="preserve"> </w:t>
            </w:r>
            <w:r w:rsidR="00C529A8" w:rsidRPr="009A163E">
              <w:rPr>
                <w:rFonts w:eastAsia="Arial"/>
                <w:b/>
                <w:bCs/>
                <w:color w:val="FFFFFF" w:themeColor="background1"/>
                <w:sz w:val="24"/>
                <w:szCs w:val="24"/>
              </w:rPr>
              <w:t>Start Date</w:t>
            </w:r>
          </w:p>
        </w:tc>
        <w:tc>
          <w:tcPr>
            <w:tcW w:w="55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E4DEB4" w14:textId="2F1D3BA2" w:rsidR="0024366C" w:rsidRPr="00D00051" w:rsidRDefault="00516718" w:rsidP="0091364B">
            <w:pPr>
              <w:spacing w:after="120" w:line="240" w:lineRule="auto"/>
              <w:rPr>
                <w:rFonts w:eastAsia="Arial" w:cstheme="minorHAnsi"/>
              </w:rPr>
            </w:pPr>
            <w:r>
              <w:rPr>
                <w:rFonts w:eastAsia="Arial" w:cstheme="minorHAnsi"/>
              </w:rPr>
              <w:t xml:space="preserve"> </w:t>
            </w:r>
            <w:r w:rsidRPr="65156DA2">
              <w:rPr>
                <w:rFonts w:eastAsia="Arial"/>
                <w:lang w:val="en-GB"/>
              </w:rPr>
              <w:t>1</w:t>
            </w:r>
            <w:r>
              <w:rPr>
                <w:rFonts w:eastAsia="Arial"/>
                <w:lang w:val="en-GB"/>
              </w:rPr>
              <w:t xml:space="preserve">5 February </w:t>
            </w:r>
            <w:r w:rsidRPr="65156DA2">
              <w:rPr>
                <w:rFonts w:eastAsia="Arial"/>
                <w:lang w:val="en-GB"/>
              </w:rPr>
              <w:t>202</w:t>
            </w:r>
            <w:r>
              <w:rPr>
                <w:rFonts w:eastAsia="Arial"/>
                <w:lang w:val="en-GB"/>
              </w:rPr>
              <w:t>6</w:t>
            </w:r>
          </w:p>
        </w:tc>
      </w:tr>
      <w:tr w:rsidR="0024366C" w:rsidRPr="00D00051" w14:paraId="767C37D0" w14:textId="77777777" w:rsidTr="00E431FD">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EF595E2" w14:textId="0C795D02" w:rsidR="0024366C" w:rsidRPr="009A163E" w:rsidRDefault="3B7FBA70" w:rsidP="0091364B">
            <w:pPr>
              <w:spacing w:after="120" w:line="240" w:lineRule="auto"/>
              <w:rPr>
                <w:rFonts w:eastAsia="Arial"/>
                <w:b/>
                <w:bCs/>
                <w:sz w:val="24"/>
                <w:szCs w:val="24"/>
              </w:rPr>
            </w:pPr>
            <w:r w:rsidRPr="009A163E">
              <w:rPr>
                <w:rFonts w:eastAsia="Arial"/>
                <w:b/>
                <w:bCs/>
                <w:color w:val="FFFFFF" w:themeColor="background1"/>
                <w:sz w:val="24"/>
                <w:szCs w:val="24"/>
              </w:rPr>
              <w:t>Implementation</w:t>
            </w:r>
            <w:r w:rsidR="00BD6922" w:rsidRPr="009A163E">
              <w:rPr>
                <w:rFonts w:eastAsia="Arial"/>
                <w:b/>
                <w:bCs/>
                <w:color w:val="FFFFFF" w:themeColor="background1"/>
                <w:sz w:val="24"/>
                <w:szCs w:val="24"/>
              </w:rPr>
              <w:t xml:space="preserve"> </w:t>
            </w:r>
            <w:r w:rsidR="00C529A8" w:rsidRPr="009A163E">
              <w:rPr>
                <w:rFonts w:eastAsia="Arial"/>
                <w:b/>
                <w:bCs/>
                <w:color w:val="FFFFFF" w:themeColor="background1"/>
                <w:sz w:val="24"/>
                <w:szCs w:val="24"/>
              </w:rPr>
              <w:t>End Date</w:t>
            </w:r>
          </w:p>
        </w:tc>
        <w:tc>
          <w:tcPr>
            <w:tcW w:w="558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83EF33" w14:textId="4ADAB510" w:rsidR="0024366C" w:rsidRPr="00D00051" w:rsidRDefault="00516718" w:rsidP="0091364B">
            <w:pPr>
              <w:spacing w:after="120" w:line="240" w:lineRule="auto"/>
              <w:rPr>
                <w:rFonts w:eastAsia="Arial" w:cstheme="minorHAnsi"/>
              </w:rPr>
            </w:pPr>
            <w:r>
              <w:rPr>
                <w:rFonts w:eastAsia="Arial" w:cstheme="minorHAnsi"/>
              </w:rPr>
              <w:t xml:space="preserve"> </w:t>
            </w:r>
            <w:r>
              <w:rPr>
                <w:rFonts w:eastAsia="Arial" w:cstheme="minorHAnsi"/>
                <w:lang w:val="en-GB"/>
              </w:rPr>
              <w:t>30 September 2027</w:t>
            </w:r>
          </w:p>
        </w:tc>
      </w:tr>
    </w:tbl>
    <w:p w14:paraId="36D89808" w14:textId="5D5F41EA" w:rsidR="18F1BAAB" w:rsidRDefault="18F1BAAB"/>
    <w:p w14:paraId="5A024D2A" w14:textId="77777777" w:rsidR="0091364B" w:rsidRPr="00D00051" w:rsidRDefault="00C529A8" w:rsidP="0091364B">
      <w:pPr>
        <w:tabs>
          <w:tab w:val="left" w:pos="840"/>
        </w:tabs>
        <w:spacing w:after="120" w:line="240" w:lineRule="auto"/>
        <w:rPr>
          <w:rFonts w:eastAsia="Arial" w:cstheme="minorHAnsi"/>
          <w:color w:val="4F81BD" w:themeColor="accent1"/>
        </w:rPr>
      </w:pPr>
      <w:r w:rsidRPr="00D00051">
        <w:rPr>
          <w:rFonts w:eastAsia="Arial" w:cstheme="minorHAnsi"/>
          <w:position w:val="-4"/>
        </w:rPr>
        <w:t>2</w:t>
      </w:r>
      <w:r w:rsidRPr="00D00051">
        <w:rPr>
          <w:rFonts w:eastAsia="Arial" w:cstheme="minorHAnsi"/>
          <w:position w:val="-4"/>
        </w:rPr>
        <w:tab/>
      </w:r>
      <w:r w:rsidRPr="00D00051">
        <w:rPr>
          <w:rFonts w:eastAsia="Arial" w:cstheme="minorHAnsi"/>
          <w:b/>
          <w:bCs/>
          <w:i/>
        </w:rPr>
        <w:t>Locations</w:t>
      </w:r>
    </w:p>
    <w:p w14:paraId="5D16B364" w14:textId="32AAAB5B" w:rsidR="0024366C" w:rsidRPr="002D3B86" w:rsidRDefault="00D00051" w:rsidP="00516718">
      <w:pPr>
        <w:tabs>
          <w:tab w:val="left" w:pos="840"/>
        </w:tabs>
        <w:spacing w:after="120" w:line="240" w:lineRule="auto"/>
        <w:rPr>
          <w:rFonts w:eastAsia="Arial" w:cstheme="minorHAnsi"/>
          <w:position w:val="-1"/>
          <w:lang w:val="en-GB"/>
        </w:rPr>
      </w:pPr>
      <w:r>
        <w:rPr>
          <w:rFonts w:eastAsia="Arial" w:cstheme="minorHAnsi"/>
          <w:i/>
          <w:iCs/>
          <w:color w:val="4F81BD" w:themeColor="accent1"/>
          <w:position w:val="-1"/>
        </w:rPr>
        <w:tab/>
      </w:r>
      <w:r w:rsidR="00516718" w:rsidRPr="002D3B86">
        <w:rPr>
          <w:rFonts w:eastAsia="Arial" w:cstheme="minorHAnsi"/>
          <w:position w:val="-1"/>
          <w:lang w:val="en-GB"/>
        </w:rPr>
        <w:t>The proposed activities should be implemented on the territory of the Republic of Moldova.</w:t>
      </w:r>
    </w:p>
    <w:p w14:paraId="23197D4B" w14:textId="77777777" w:rsidR="00516718" w:rsidRPr="002D3B86" w:rsidRDefault="00516718" w:rsidP="00516718">
      <w:pPr>
        <w:tabs>
          <w:tab w:val="left" w:pos="840"/>
        </w:tabs>
        <w:spacing w:after="120" w:line="240" w:lineRule="auto"/>
        <w:rPr>
          <w:rFonts w:cstheme="minorHAnsi"/>
        </w:rPr>
      </w:pPr>
    </w:p>
    <w:p w14:paraId="4AECE7A8" w14:textId="77777777" w:rsidR="0024366C" w:rsidRPr="002D3B86" w:rsidRDefault="00C529A8" w:rsidP="0091364B">
      <w:pPr>
        <w:tabs>
          <w:tab w:val="left" w:pos="840"/>
        </w:tabs>
        <w:spacing w:after="120" w:line="240" w:lineRule="auto"/>
        <w:rPr>
          <w:rFonts w:eastAsia="Arial" w:cstheme="minorHAnsi"/>
        </w:rPr>
      </w:pPr>
      <w:r w:rsidRPr="002D3B86">
        <w:rPr>
          <w:rFonts w:eastAsia="Arial" w:cstheme="minorHAnsi"/>
          <w:position w:val="-4"/>
        </w:rPr>
        <w:t>3</w:t>
      </w:r>
      <w:r w:rsidRPr="002D3B86">
        <w:rPr>
          <w:rFonts w:eastAsia="Arial" w:cstheme="minorHAnsi"/>
          <w:position w:val="-4"/>
        </w:rPr>
        <w:tab/>
      </w:r>
      <w:r w:rsidRPr="002D3B86">
        <w:rPr>
          <w:rFonts w:eastAsia="Arial" w:cstheme="minorHAnsi"/>
          <w:b/>
          <w:bCs/>
          <w:i/>
        </w:rPr>
        <w:t>Sector(s) and area(s) of specialization</w:t>
      </w:r>
    </w:p>
    <w:p w14:paraId="52262227" w14:textId="07A20979" w:rsidR="002D3B86" w:rsidRDefault="00D00051" w:rsidP="002D3B86">
      <w:pPr>
        <w:pStyle w:val="BodyText"/>
        <w:spacing w:before="119"/>
        <w:ind w:left="900" w:hanging="900"/>
        <w:jc w:val="both"/>
      </w:pPr>
      <w:r w:rsidRPr="002D3B86">
        <w:rPr>
          <w:rFonts w:eastAsia="Arial" w:cstheme="minorHAnsi"/>
          <w:i/>
          <w:iCs/>
          <w:position w:val="-1"/>
        </w:rPr>
        <w:tab/>
      </w:r>
      <w:r w:rsidR="002D3B86" w:rsidRPr="002D3B86">
        <w:rPr>
          <w:rFonts w:eastAsia="Arial" w:cstheme="minorHAnsi"/>
          <w:position w:val="-1"/>
        </w:rPr>
        <w:t xml:space="preserve">A </w:t>
      </w:r>
      <w:r w:rsidR="002D3B86" w:rsidRPr="00FA19FF">
        <w:rPr>
          <w:rFonts w:eastAsia="Calibri"/>
          <w:color w:val="000000" w:themeColor="text1"/>
        </w:rPr>
        <w:t>national C</w:t>
      </w:r>
      <w:r w:rsidR="002D3B86">
        <w:rPr>
          <w:rFonts w:eastAsia="Calibri"/>
          <w:color w:val="000000" w:themeColor="text1"/>
        </w:rPr>
        <w:t xml:space="preserve">ivil Society </w:t>
      </w:r>
      <w:r w:rsidR="002D3B86" w:rsidRPr="00FA19FF">
        <w:rPr>
          <w:rFonts w:eastAsia="Calibri"/>
          <w:color w:val="000000" w:themeColor="text1"/>
        </w:rPr>
        <w:t>O</w:t>
      </w:r>
      <w:r w:rsidR="002D3B86">
        <w:rPr>
          <w:rFonts w:eastAsia="Calibri"/>
          <w:color w:val="000000" w:themeColor="text1"/>
        </w:rPr>
        <w:t>rganization</w:t>
      </w:r>
      <w:r w:rsidR="002D3B86">
        <w:rPr>
          <w:rFonts w:eastAsia="Calibri"/>
          <w:color w:val="000000" w:themeColor="text1"/>
        </w:rPr>
        <w:t xml:space="preserve"> </w:t>
      </w:r>
      <w:r w:rsidR="002D3B86" w:rsidRPr="00FA19FF">
        <w:rPr>
          <w:rFonts w:eastAsia="Calibri"/>
          <w:color w:val="000000" w:themeColor="text1"/>
        </w:rPr>
        <w:t xml:space="preserve">will be selected </w:t>
      </w:r>
      <w:r w:rsidR="002D3B86">
        <w:rPr>
          <w:rFonts w:eastAsia="Calibri"/>
          <w:color w:val="000000" w:themeColor="text1"/>
        </w:rPr>
        <w:t xml:space="preserve">to act as an Implementing Partner (IP) </w:t>
      </w:r>
      <w:r w:rsidR="002D3B86" w:rsidRPr="00FA19FF">
        <w:rPr>
          <w:rFonts w:eastAsia="Calibri"/>
          <w:color w:val="000000" w:themeColor="text1"/>
        </w:rPr>
        <w:t>to lead an outreach campaign designed to raise public awareness and counter misinformation, ensuring that diverse communities are well-informed about MIA’s work and the EU integration process.</w:t>
      </w:r>
      <w:r w:rsidR="002D3B86">
        <w:rPr>
          <w:rFonts w:eastAsia="Calibri"/>
          <w:color w:val="000000" w:themeColor="text1"/>
        </w:rPr>
        <w:t xml:space="preserve"> </w:t>
      </w:r>
      <w:r w:rsidR="002D3B86" w:rsidRPr="00ED727D">
        <w:rPr>
          <w:rFonts w:eastAsia="Calibri"/>
          <w:color w:val="000000" w:themeColor="text1"/>
        </w:rPr>
        <w:t xml:space="preserve">The selected </w:t>
      </w:r>
      <w:r w:rsidR="002D3B86">
        <w:rPr>
          <w:rFonts w:eastAsia="Calibri"/>
          <w:color w:val="000000" w:themeColor="text1"/>
        </w:rPr>
        <w:t xml:space="preserve">national </w:t>
      </w:r>
      <w:r w:rsidR="002D3B86" w:rsidRPr="00ED727D">
        <w:rPr>
          <w:rFonts w:eastAsia="Calibri"/>
          <w:color w:val="000000" w:themeColor="text1"/>
        </w:rPr>
        <w:t xml:space="preserve">CSO will </w:t>
      </w:r>
      <w:r w:rsidR="002D3B86">
        <w:rPr>
          <w:rFonts w:eastAsia="Calibri"/>
          <w:color w:val="000000" w:themeColor="text1"/>
        </w:rPr>
        <w:t xml:space="preserve">also </w:t>
      </w:r>
      <w:r w:rsidR="002D3B86" w:rsidRPr="00ED727D">
        <w:rPr>
          <w:rFonts w:eastAsia="Calibri"/>
          <w:color w:val="000000" w:themeColor="text1"/>
        </w:rPr>
        <w:t xml:space="preserve">be responsible for coordinating and validating awareness-raising activities implemented by eight national CSOs </w:t>
      </w:r>
      <w:r w:rsidR="002D3B86">
        <w:rPr>
          <w:rFonts w:eastAsia="Calibri"/>
          <w:color w:val="000000" w:themeColor="text1"/>
        </w:rPr>
        <w:t xml:space="preserve">which will be selected </w:t>
      </w:r>
      <w:r w:rsidR="002D3B86" w:rsidRPr="00ED727D">
        <w:rPr>
          <w:rFonts w:eastAsia="Calibri"/>
          <w:color w:val="000000" w:themeColor="text1"/>
        </w:rPr>
        <w:t>under the current project</w:t>
      </w:r>
      <w:r w:rsidR="002D3B86">
        <w:rPr>
          <w:rFonts w:eastAsia="Calibri"/>
          <w:color w:val="000000" w:themeColor="text1"/>
        </w:rPr>
        <w:t xml:space="preserve"> that will</w:t>
      </w:r>
      <w:r w:rsidR="002D3B86" w:rsidRPr="00ED727D">
        <w:rPr>
          <w:rFonts w:eastAsia="Calibri"/>
          <w:color w:val="000000" w:themeColor="text1"/>
        </w:rPr>
        <w:t xml:space="preserve"> </w:t>
      </w:r>
      <w:r w:rsidR="002D3B86">
        <w:t>reflect</w:t>
      </w:r>
      <w:r w:rsidR="002D3B86">
        <w:rPr>
          <w:spacing w:val="-5"/>
        </w:rPr>
        <w:t xml:space="preserve"> </w:t>
      </w:r>
      <w:r w:rsidR="002D3B86">
        <w:t>one</w:t>
      </w:r>
      <w:r w:rsidR="002D3B86">
        <w:rPr>
          <w:spacing w:val="-4"/>
        </w:rPr>
        <w:t xml:space="preserve"> </w:t>
      </w:r>
      <w:r w:rsidR="002D3B86">
        <w:t>or</w:t>
      </w:r>
      <w:r w:rsidR="002D3B86">
        <w:rPr>
          <w:spacing w:val="-4"/>
        </w:rPr>
        <w:t xml:space="preserve"> </w:t>
      </w:r>
      <w:r w:rsidR="002D3B86">
        <w:t>more</w:t>
      </w:r>
      <w:r w:rsidR="002D3B86">
        <w:rPr>
          <w:spacing w:val="-4"/>
        </w:rPr>
        <w:t xml:space="preserve"> </w:t>
      </w:r>
      <w:r w:rsidR="002D3B86">
        <w:t>of</w:t>
      </w:r>
      <w:r w:rsidR="002D3B86">
        <w:rPr>
          <w:spacing w:val="-2"/>
        </w:rPr>
        <w:t xml:space="preserve"> </w:t>
      </w:r>
      <w:r w:rsidR="002D3B86">
        <w:t>the</w:t>
      </w:r>
      <w:r w:rsidR="002D3B86">
        <w:rPr>
          <w:spacing w:val="48"/>
        </w:rPr>
        <w:t xml:space="preserve"> </w:t>
      </w:r>
      <w:r w:rsidR="002D3B86">
        <w:t>areas listed</w:t>
      </w:r>
      <w:r w:rsidR="002D3B86">
        <w:rPr>
          <w:spacing w:val="-4"/>
        </w:rPr>
        <w:t xml:space="preserve"> </w:t>
      </w:r>
      <w:r w:rsidR="002D3B86">
        <w:rPr>
          <w:spacing w:val="-2"/>
        </w:rPr>
        <w:t>below:</w:t>
      </w:r>
    </w:p>
    <w:p w14:paraId="1BF915D3" w14:textId="77777777" w:rsidR="002D3B86" w:rsidRDefault="002D3B86" w:rsidP="002D3B86">
      <w:pPr>
        <w:pStyle w:val="ListParagraph"/>
        <w:numPr>
          <w:ilvl w:val="1"/>
          <w:numId w:val="35"/>
        </w:numPr>
        <w:tabs>
          <w:tab w:val="left" w:pos="1593"/>
        </w:tabs>
        <w:autoSpaceDE w:val="0"/>
        <w:autoSpaceDN w:val="0"/>
        <w:spacing w:before="118" w:after="0" w:line="240" w:lineRule="auto"/>
        <w:ind w:left="1593" w:hanging="359"/>
        <w:contextualSpacing w:val="0"/>
        <w:jc w:val="both"/>
        <w:rPr>
          <w:bCs/>
        </w:rPr>
      </w:pPr>
      <w:r>
        <w:rPr>
          <w:b/>
        </w:rPr>
        <w:t xml:space="preserve">Community safety and security </w:t>
      </w:r>
      <w:r>
        <w:rPr>
          <w:bCs/>
        </w:rPr>
        <w:t>– activities that promote public trust in law enforcement, strengthen cooperation between communities and police, and enhance awareness of citizens’ rights and obligations.</w:t>
      </w:r>
    </w:p>
    <w:p w14:paraId="3DC70975" w14:textId="77777777" w:rsidR="002D3B86" w:rsidRDefault="002D3B86" w:rsidP="002D3B86">
      <w:pPr>
        <w:pStyle w:val="ListParagraph"/>
        <w:numPr>
          <w:ilvl w:val="1"/>
          <w:numId w:val="35"/>
        </w:numPr>
        <w:tabs>
          <w:tab w:val="left" w:pos="1593"/>
        </w:tabs>
        <w:autoSpaceDE w:val="0"/>
        <w:autoSpaceDN w:val="0"/>
        <w:spacing w:before="118" w:after="0" w:line="240" w:lineRule="auto"/>
        <w:ind w:left="1593" w:hanging="359"/>
        <w:contextualSpacing w:val="0"/>
        <w:jc w:val="both"/>
        <w:rPr>
          <w:bCs/>
        </w:rPr>
      </w:pPr>
      <w:r>
        <w:rPr>
          <w:b/>
        </w:rPr>
        <w:t xml:space="preserve">Migration and border management </w:t>
      </w:r>
      <w:r>
        <w:rPr>
          <w:bCs/>
        </w:rPr>
        <w:t>– initiatives that support information campaigns, legal assistance, or community engagement on safe migration, anti-trafficking, and border security.</w:t>
      </w:r>
    </w:p>
    <w:p w14:paraId="17C2A420" w14:textId="77777777" w:rsidR="002D3B86" w:rsidRDefault="002D3B86" w:rsidP="002D3B86">
      <w:pPr>
        <w:pStyle w:val="ListParagraph"/>
        <w:numPr>
          <w:ilvl w:val="1"/>
          <w:numId w:val="35"/>
        </w:numPr>
        <w:tabs>
          <w:tab w:val="left" w:pos="1593"/>
        </w:tabs>
        <w:autoSpaceDE w:val="0"/>
        <w:autoSpaceDN w:val="0"/>
        <w:spacing w:before="118" w:after="0" w:line="240" w:lineRule="auto"/>
        <w:ind w:left="1593" w:hanging="359"/>
        <w:contextualSpacing w:val="0"/>
        <w:jc w:val="both"/>
        <w:rPr>
          <w:bCs/>
        </w:rPr>
      </w:pPr>
      <w:r>
        <w:rPr>
          <w:b/>
        </w:rPr>
        <w:t xml:space="preserve">Human rights and rule of law </w:t>
      </w:r>
      <w:r>
        <w:rPr>
          <w:bCs/>
        </w:rPr>
        <w:t>– promoting awareness, legal literacy, and capacity building on anti-discrimination, protection of vulnerable groups, and accountability of public institutions.</w:t>
      </w:r>
    </w:p>
    <w:p w14:paraId="211F1234" w14:textId="77777777" w:rsidR="002D3B86" w:rsidRDefault="002D3B86" w:rsidP="002D3B86">
      <w:pPr>
        <w:pStyle w:val="ListParagraph"/>
        <w:numPr>
          <w:ilvl w:val="1"/>
          <w:numId w:val="35"/>
        </w:numPr>
        <w:tabs>
          <w:tab w:val="left" w:pos="1593"/>
        </w:tabs>
        <w:autoSpaceDE w:val="0"/>
        <w:autoSpaceDN w:val="0"/>
        <w:spacing w:before="118" w:after="0" w:line="240" w:lineRule="auto"/>
        <w:ind w:left="1593" w:hanging="359"/>
        <w:contextualSpacing w:val="0"/>
        <w:jc w:val="both"/>
        <w:rPr>
          <w:bCs/>
        </w:rPr>
      </w:pPr>
      <w:r>
        <w:rPr>
          <w:b/>
        </w:rPr>
        <w:t xml:space="preserve">Prevention of abuse and violence, including gender-based violence </w:t>
      </w:r>
      <w:r>
        <w:rPr>
          <w:bCs/>
        </w:rPr>
        <w:t xml:space="preserve">– training, seminars, and public </w:t>
      </w:r>
      <w:r>
        <w:rPr>
          <w:bCs/>
        </w:rPr>
        <w:lastRenderedPageBreak/>
        <w:t>awareness campaigns on prevention of domestic violence, gender-based violence, and abuse of vulnerable persons.</w:t>
      </w:r>
    </w:p>
    <w:p w14:paraId="400A1FAB" w14:textId="77777777" w:rsidR="002D3B86" w:rsidRDefault="002D3B86" w:rsidP="002D3B86">
      <w:pPr>
        <w:pStyle w:val="ListParagraph"/>
        <w:numPr>
          <w:ilvl w:val="1"/>
          <w:numId w:val="35"/>
        </w:numPr>
        <w:tabs>
          <w:tab w:val="left" w:pos="1593"/>
        </w:tabs>
        <w:autoSpaceDE w:val="0"/>
        <w:autoSpaceDN w:val="0"/>
        <w:spacing w:before="118" w:after="0" w:line="240" w:lineRule="auto"/>
        <w:ind w:left="1593" w:hanging="359"/>
        <w:contextualSpacing w:val="0"/>
        <w:jc w:val="both"/>
        <w:rPr>
          <w:bCs/>
        </w:rPr>
      </w:pPr>
      <w:r>
        <w:rPr>
          <w:b/>
        </w:rPr>
        <w:t xml:space="preserve">European integration </w:t>
      </w:r>
      <w:r>
        <w:rPr>
          <w:bCs/>
        </w:rPr>
        <w:t>reforms – activities that increase public understanding of EU standards in justice, freedom, and security, and strengthen the role of civil society in monitoring implementation.</w:t>
      </w:r>
    </w:p>
    <w:p w14:paraId="717D4A9A" w14:textId="5F6DC799" w:rsidR="0024366C" w:rsidRPr="002D3B86" w:rsidRDefault="0024366C" w:rsidP="0091364B">
      <w:pPr>
        <w:spacing w:after="120" w:line="240" w:lineRule="auto"/>
        <w:rPr>
          <w:rFonts w:cstheme="minorHAnsi"/>
        </w:rPr>
      </w:pPr>
    </w:p>
    <w:p w14:paraId="6EA3F758" w14:textId="77777777" w:rsidR="0024366C" w:rsidRPr="002D3B86" w:rsidRDefault="00C529A8" w:rsidP="0091364B">
      <w:pPr>
        <w:tabs>
          <w:tab w:val="left" w:pos="840"/>
        </w:tabs>
        <w:spacing w:after="120" w:line="240" w:lineRule="auto"/>
        <w:rPr>
          <w:rFonts w:eastAsia="Arial" w:cstheme="minorHAnsi"/>
        </w:rPr>
      </w:pPr>
      <w:r w:rsidRPr="002D3B86">
        <w:rPr>
          <w:rFonts w:eastAsia="Arial" w:cstheme="minorHAnsi"/>
          <w:position w:val="-4"/>
        </w:rPr>
        <w:t>4</w:t>
      </w:r>
      <w:r w:rsidRPr="002D3B86">
        <w:rPr>
          <w:rFonts w:eastAsia="Arial" w:cstheme="minorHAnsi"/>
          <w:position w:val="-4"/>
        </w:rPr>
        <w:tab/>
      </w:r>
      <w:r w:rsidRPr="002D3B86">
        <w:rPr>
          <w:rFonts w:eastAsia="Arial" w:cstheme="minorHAnsi"/>
          <w:b/>
          <w:bCs/>
          <w:i/>
        </w:rPr>
        <w:t>Issuing Agency</w:t>
      </w:r>
    </w:p>
    <w:p w14:paraId="2354DF7C" w14:textId="1C94A6B7" w:rsidR="0024366C" w:rsidRPr="002D3B86" w:rsidRDefault="002D3B86" w:rsidP="002D3B86">
      <w:pPr>
        <w:spacing w:after="120" w:line="240" w:lineRule="auto"/>
        <w:ind w:firstLine="720"/>
        <w:rPr>
          <w:rFonts w:eastAsia="Arial" w:cstheme="minorHAnsi"/>
        </w:rPr>
      </w:pPr>
      <w:r w:rsidRPr="002D3B86">
        <w:rPr>
          <w:rFonts w:eastAsia="Arial" w:cstheme="minorHAnsi"/>
          <w:position w:val="-1"/>
        </w:rPr>
        <w:t>International Organization for Migration (IOM) Mission in the Republic of Moldova</w:t>
      </w:r>
    </w:p>
    <w:p w14:paraId="640F0759" w14:textId="77777777" w:rsidR="0024366C" w:rsidRPr="002D3B86" w:rsidRDefault="0024366C" w:rsidP="0091364B">
      <w:pPr>
        <w:spacing w:after="120" w:line="240" w:lineRule="auto"/>
        <w:rPr>
          <w:rFonts w:cstheme="minorHAnsi"/>
        </w:rPr>
      </w:pPr>
    </w:p>
    <w:p w14:paraId="2F99BDB8" w14:textId="04DCCA74" w:rsidR="0024366C" w:rsidRPr="002D3B86" w:rsidRDefault="00C529A8" w:rsidP="0091364B">
      <w:pPr>
        <w:tabs>
          <w:tab w:val="left" w:pos="840"/>
        </w:tabs>
        <w:spacing w:after="120" w:line="240" w:lineRule="auto"/>
        <w:rPr>
          <w:rFonts w:eastAsia="Arial" w:cstheme="minorHAnsi"/>
          <w:b/>
          <w:bCs/>
          <w:i/>
        </w:rPr>
      </w:pPr>
      <w:r w:rsidRPr="002D3B86">
        <w:rPr>
          <w:rFonts w:eastAsia="Arial" w:cstheme="minorHAnsi"/>
          <w:position w:val="-4"/>
        </w:rPr>
        <w:t>5</w:t>
      </w:r>
      <w:r w:rsidRPr="002D3B86">
        <w:rPr>
          <w:rFonts w:eastAsia="Arial" w:cstheme="minorHAnsi"/>
          <w:position w:val="-4"/>
        </w:rPr>
        <w:tab/>
      </w:r>
      <w:r w:rsidRPr="002D3B86">
        <w:rPr>
          <w:rFonts w:eastAsia="Arial" w:cstheme="minorHAnsi"/>
          <w:b/>
          <w:bCs/>
          <w:i/>
        </w:rPr>
        <w:t>Project Background</w:t>
      </w:r>
    </w:p>
    <w:p w14:paraId="36282966" w14:textId="77777777" w:rsidR="002D3B86" w:rsidRPr="00FA19FF" w:rsidRDefault="002D3B86" w:rsidP="002D3B86">
      <w:pPr>
        <w:jc w:val="both"/>
        <w:textAlignment w:val="baseline"/>
        <w:rPr>
          <w:rFonts w:eastAsiaTheme="minorEastAsia"/>
          <w:color w:val="000000" w:themeColor="text1"/>
        </w:rPr>
      </w:pPr>
      <w:r w:rsidRPr="00FA19FF">
        <w:rPr>
          <w:rFonts w:eastAsiaTheme="minorEastAsia"/>
          <w:color w:val="000000" w:themeColor="text1"/>
        </w:rPr>
        <w:t>This 28-month Action aims to strengthen and empower civil society organizations (CSOs) in the Republic of Moldova to proactively engage with the Ministry of Internal Affairs (MIA) in advancing home affairs reforms and supporting the country’s EU accession process. The project will contribute to improving democratic governance and public sector accountability in key areas such as security and migration. </w:t>
      </w:r>
    </w:p>
    <w:p w14:paraId="3DC8F46A" w14:textId="77777777" w:rsidR="002D3B86" w:rsidRPr="00FA19FF" w:rsidRDefault="002D3B86" w:rsidP="002D3B86">
      <w:pPr>
        <w:jc w:val="both"/>
        <w:textAlignment w:val="baseline"/>
        <w:rPr>
          <w:rFonts w:eastAsiaTheme="minorEastAsia"/>
          <w:color w:val="000000" w:themeColor="text1"/>
        </w:rPr>
      </w:pPr>
      <w:r w:rsidRPr="00FA19FF">
        <w:rPr>
          <w:rFonts w:eastAsiaTheme="minorEastAsia"/>
          <w:color w:val="000000" w:themeColor="text1"/>
        </w:rPr>
        <w:t>The </w:t>
      </w:r>
      <w:r w:rsidRPr="00FA19FF">
        <w:rPr>
          <w:rFonts w:eastAsiaTheme="minorEastAsia"/>
          <w:b/>
          <w:bCs/>
          <w:color w:val="000000" w:themeColor="text1"/>
        </w:rPr>
        <w:t>overall objective</w:t>
      </w:r>
      <w:r w:rsidRPr="00FA19FF">
        <w:rPr>
          <w:rFonts w:eastAsiaTheme="minorEastAsia"/>
          <w:color w:val="000000" w:themeColor="text1"/>
        </w:rPr>
        <w:t> is to enhance the role of Moldovan CSOs in supporting home affairs reforms, particularly in promoting transparency, policy coherence, and alignment with EU standards. The </w:t>
      </w:r>
      <w:r w:rsidRPr="00FA19FF">
        <w:rPr>
          <w:rFonts w:eastAsiaTheme="minorEastAsia"/>
          <w:b/>
          <w:bCs/>
          <w:color w:val="000000" w:themeColor="text1"/>
        </w:rPr>
        <w:t>specific objective</w:t>
      </w:r>
      <w:r w:rsidRPr="00FA19FF">
        <w:rPr>
          <w:rFonts w:eastAsiaTheme="minorEastAsia"/>
          <w:color w:val="000000" w:themeColor="text1"/>
        </w:rPr>
        <w:t> focuses on enabling structured collaboration between CSOs and the MIA in a more conducive environment, ensuring reforms in the security and migration sectors are inclusive and sustainable. </w:t>
      </w:r>
    </w:p>
    <w:p w14:paraId="61554F7C" w14:textId="77777777" w:rsidR="002D3B86" w:rsidRPr="00FA19FF" w:rsidRDefault="002D3B86" w:rsidP="002D3B86">
      <w:pPr>
        <w:jc w:val="both"/>
        <w:textAlignment w:val="baseline"/>
        <w:rPr>
          <w:rFonts w:eastAsiaTheme="minorEastAsia"/>
          <w:color w:val="000000" w:themeColor="text1"/>
        </w:rPr>
      </w:pPr>
      <w:r w:rsidRPr="00FA19FF">
        <w:rPr>
          <w:rFonts w:eastAsiaTheme="minorEastAsia"/>
          <w:color w:val="000000" w:themeColor="text1"/>
        </w:rPr>
        <w:t>The </w:t>
      </w:r>
      <w:r w:rsidRPr="00FA19FF">
        <w:rPr>
          <w:rFonts w:eastAsiaTheme="minorEastAsia"/>
          <w:b/>
          <w:bCs/>
          <w:color w:val="000000" w:themeColor="text1"/>
        </w:rPr>
        <w:t>target groups</w:t>
      </w:r>
      <w:r w:rsidRPr="00FA19FF">
        <w:rPr>
          <w:rFonts w:eastAsiaTheme="minorEastAsia"/>
          <w:color w:val="000000" w:themeColor="text1"/>
        </w:rPr>
        <w:t> include Moldovan civil society organizations, the MIA, and other relevant government authorities. The </w:t>
      </w:r>
      <w:r w:rsidRPr="00FA19FF">
        <w:rPr>
          <w:rFonts w:eastAsiaTheme="minorEastAsia"/>
          <w:b/>
          <w:bCs/>
          <w:color w:val="000000" w:themeColor="text1"/>
        </w:rPr>
        <w:t>final beneficiaries</w:t>
      </w:r>
      <w:r w:rsidRPr="00FA19FF">
        <w:rPr>
          <w:rFonts w:eastAsiaTheme="minorEastAsia"/>
          <w:color w:val="000000" w:themeColor="text1"/>
        </w:rPr>
        <w:t> are the general population of Moldova, with particular attention to migrants, refugees, and vulnerable groups who will benefit from more effective and EU-aligned security and migration policies. </w:t>
      </w:r>
    </w:p>
    <w:p w14:paraId="20D7451B" w14:textId="77777777" w:rsidR="002D3B86" w:rsidRPr="00FA19FF" w:rsidRDefault="002D3B86" w:rsidP="002D3B86">
      <w:pPr>
        <w:jc w:val="both"/>
        <w:textAlignment w:val="baseline"/>
        <w:rPr>
          <w:rFonts w:eastAsiaTheme="minorEastAsia"/>
          <w:color w:val="000000" w:themeColor="text1"/>
        </w:rPr>
      </w:pPr>
      <w:r w:rsidRPr="00FA19FF">
        <w:rPr>
          <w:rFonts w:eastAsiaTheme="minorEastAsia"/>
          <w:color w:val="000000" w:themeColor="text1"/>
        </w:rPr>
        <w:t>The Action will deliver three main </w:t>
      </w:r>
      <w:r w:rsidRPr="00FA19FF">
        <w:rPr>
          <w:rFonts w:eastAsiaTheme="minorEastAsia"/>
          <w:b/>
          <w:bCs/>
          <w:color w:val="000000" w:themeColor="text1"/>
        </w:rPr>
        <w:t>outputs</w:t>
      </w:r>
      <w:r w:rsidRPr="00FA19FF">
        <w:rPr>
          <w:rFonts w:eastAsiaTheme="minorEastAsia"/>
          <w:color w:val="000000" w:themeColor="text1"/>
        </w:rPr>
        <w:t>: </w:t>
      </w:r>
    </w:p>
    <w:p w14:paraId="7D82D65A" w14:textId="77777777" w:rsidR="002D3B86" w:rsidRPr="00FA19FF" w:rsidRDefault="002D3B86" w:rsidP="008106E8">
      <w:pPr>
        <w:numPr>
          <w:ilvl w:val="0"/>
          <w:numId w:val="36"/>
        </w:numPr>
        <w:spacing w:after="0" w:line="240" w:lineRule="auto"/>
        <w:jc w:val="both"/>
        <w:textAlignment w:val="baseline"/>
        <w:rPr>
          <w:rFonts w:eastAsiaTheme="minorEastAsia"/>
          <w:color w:val="000000" w:themeColor="text1"/>
        </w:rPr>
      </w:pPr>
      <w:r w:rsidRPr="00FA19FF">
        <w:rPr>
          <w:rFonts w:eastAsiaTheme="minorEastAsia"/>
          <w:color w:val="000000" w:themeColor="text1"/>
        </w:rPr>
        <w:t>Strengthened capacities of CSOs to engage in MIA’s home affairs reform processes. </w:t>
      </w:r>
    </w:p>
    <w:p w14:paraId="1F6627B8" w14:textId="77777777" w:rsidR="002D3B86" w:rsidRPr="00FA19FF" w:rsidRDefault="002D3B86" w:rsidP="008106E8">
      <w:pPr>
        <w:numPr>
          <w:ilvl w:val="0"/>
          <w:numId w:val="37"/>
        </w:numPr>
        <w:spacing w:after="0" w:line="240" w:lineRule="auto"/>
        <w:jc w:val="both"/>
        <w:textAlignment w:val="baseline"/>
        <w:rPr>
          <w:rFonts w:eastAsiaTheme="minorEastAsia"/>
          <w:color w:val="000000" w:themeColor="text1"/>
        </w:rPr>
      </w:pPr>
      <w:r w:rsidRPr="00FA19FF">
        <w:rPr>
          <w:rFonts w:eastAsiaTheme="minorEastAsia"/>
          <w:color w:val="000000" w:themeColor="text1"/>
        </w:rPr>
        <w:t>Improved coordination and dialogue mechanisms between CSOs and the </w:t>
      </w:r>
      <w:proofErr w:type="gramStart"/>
      <w:r w:rsidRPr="00FA19FF">
        <w:rPr>
          <w:rFonts w:eastAsiaTheme="minorEastAsia"/>
          <w:color w:val="000000" w:themeColor="text1"/>
        </w:rPr>
        <w:t>MIA;</w:t>
      </w:r>
      <w:proofErr w:type="gramEnd"/>
      <w:r w:rsidRPr="00FA19FF">
        <w:rPr>
          <w:rFonts w:eastAsiaTheme="minorEastAsia"/>
          <w:color w:val="000000" w:themeColor="text1"/>
        </w:rPr>
        <w:t> </w:t>
      </w:r>
    </w:p>
    <w:p w14:paraId="2D0E7C69" w14:textId="77777777" w:rsidR="002D3B86" w:rsidRDefault="002D3B86" w:rsidP="008106E8">
      <w:pPr>
        <w:numPr>
          <w:ilvl w:val="0"/>
          <w:numId w:val="38"/>
        </w:numPr>
        <w:spacing w:after="0" w:line="240" w:lineRule="auto"/>
        <w:jc w:val="both"/>
        <w:textAlignment w:val="baseline"/>
        <w:rPr>
          <w:rFonts w:eastAsiaTheme="minorEastAsia"/>
          <w:color w:val="000000" w:themeColor="text1"/>
        </w:rPr>
      </w:pPr>
      <w:r w:rsidRPr="00FA19FF">
        <w:rPr>
          <w:rFonts w:eastAsiaTheme="minorEastAsia"/>
          <w:color w:val="000000" w:themeColor="text1"/>
        </w:rPr>
        <w:t>Enhanced public awareness and outreach through community-based campaigns supporting MIA reforms and Moldova’s EU integration efforts. </w:t>
      </w:r>
    </w:p>
    <w:p w14:paraId="4554F92E" w14:textId="77777777" w:rsidR="008106E8" w:rsidRPr="00FA19FF" w:rsidRDefault="008106E8" w:rsidP="008106E8">
      <w:pPr>
        <w:spacing w:after="0" w:line="240" w:lineRule="auto"/>
        <w:ind w:left="720"/>
        <w:jc w:val="both"/>
        <w:textAlignment w:val="baseline"/>
        <w:rPr>
          <w:rFonts w:eastAsiaTheme="minorEastAsia"/>
          <w:color w:val="000000" w:themeColor="text1"/>
        </w:rPr>
      </w:pPr>
    </w:p>
    <w:p w14:paraId="1FC79553" w14:textId="77777777" w:rsidR="002D3B86" w:rsidRPr="00FA19FF" w:rsidRDefault="002D3B86" w:rsidP="002D3B86">
      <w:pPr>
        <w:jc w:val="both"/>
        <w:textAlignment w:val="baseline"/>
        <w:rPr>
          <w:rFonts w:eastAsiaTheme="minorEastAsia"/>
          <w:color w:val="000000" w:themeColor="text1"/>
        </w:rPr>
      </w:pPr>
      <w:r w:rsidRPr="00FA19FF">
        <w:rPr>
          <w:rFonts w:eastAsiaTheme="minorEastAsia"/>
          <w:color w:val="000000" w:themeColor="text1"/>
        </w:rPr>
        <w:t>To achieve these results, the project will implement a series of targeted </w:t>
      </w:r>
      <w:r w:rsidRPr="00FA19FF">
        <w:rPr>
          <w:rFonts w:eastAsiaTheme="minorEastAsia"/>
          <w:b/>
          <w:bCs/>
          <w:color w:val="000000" w:themeColor="text1"/>
        </w:rPr>
        <w:t>activities</w:t>
      </w:r>
      <w:r w:rsidRPr="00FA19FF">
        <w:rPr>
          <w:rFonts w:eastAsiaTheme="minorEastAsia"/>
          <w:color w:val="000000" w:themeColor="text1"/>
        </w:rPr>
        <w:t>, including training sessions for CSOs, the development of a policy research and advocacy toolkit, the establishment of a dedicated CSO-MIA working group, and a series of public outreach initiatives. </w:t>
      </w:r>
    </w:p>
    <w:p w14:paraId="46B84813" w14:textId="77777777" w:rsidR="002D3B86" w:rsidRDefault="002D3B86" w:rsidP="002D3B86">
      <w:pPr>
        <w:spacing w:after="0"/>
        <w:jc w:val="both"/>
        <w:textAlignment w:val="baseline"/>
        <w:rPr>
          <w:rFonts w:eastAsiaTheme="minorEastAsia"/>
          <w:color w:val="000000" w:themeColor="text1"/>
        </w:rPr>
      </w:pPr>
      <w:r w:rsidRPr="00FA19FF">
        <w:rPr>
          <w:rFonts w:eastAsiaTheme="minorEastAsia"/>
          <w:color w:val="000000" w:themeColor="text1"/>
        </w:rPr>
        <w:t>This Action seeks to foster a participatory and transparent policy environment in Moldova, empowering civil society to act as a constructive partner in public sector reform and European integration. </w:t>
      </w:r>
    </w:p>
    <w:p w14:paraId="0D0F2232" w14:textId="77777777" w:rsidR="002D3B86" w:rsidRPr="00FA19FF" w:rsidRDefault="002D3B86" w:rsidP="002D3B86">
      <w:pPr>
        <w:spacing w:after="0"/>
        <w:jc w:val="both"/>
        <w:textAlignment w:val="baseline"/>
        <w:rPr>
          <w:rFonts w:eastAsiaTheme="minorEastAsia"/>
          <w:color w:val="000000" w:themeColor="text1"/>
        </w:rPr>
      </w:pPr>
    </w:p>
    <w:p w14:paraId="2FE9B180" w14:textId="77777777" w:rsidR="0024366C" w:rsidRPr="00D00051" w:rsidRDefault="00C529A8" w:rsidP="002D3B86">
      <w:pPr>
        <w:tabs>
          <w:tab w:val="left" w:pos="840"/>
        </w:tabs>
        <w:spacing w:after="100" w:afterAutospacing="1" w:line="240" w:lineRule="auto"/>
        <w:rPr>
          <w:rFonts w:eastAsia="Arial" w:cstheme="minorHAnsi"/>
        </w:rPr>
      </w:pPr>
      <w:r w:rsidRPr="00D00051">
        <w:rPr>
          <w:rFonts w:eastAsia="Arial" w:cstheme="minorHAnsi"/>
          <w:position w:val="-4"/>
        </w:rPr>
        <w:t>6</w:t>
      </w:r>
      <w:r w:rsidRPr="00D00051">
        <w:rPr>
          <w:rFonts w:eastAsia="Arial" w:cstheme="minorHAnsi"/>
          <w:position w:val="-4"/>
        </w:rPr>
        <w:tab/>
      </w:r>
      <w:r w:rsidRPr="00D00051">
        <w:rPr>
          <w:rFonts w:eastAsia="Arial" w:cstheme="minorHAnsi"/>
          <w:b/>
          <w:bCs/>
          <w:i/>
        </w:rPr>
        <w:t>Expected Results</w:t>
      </w:r>
    </w:p>
    <w:p w14:paraId="02353233" w14:textId="77777777" w:rsidR="002D3B86" w:rsidRDefault="002D3B86" w:rsidP="002D3B86">
      <w:pPr>
        <w:pStyle w:val="paragraph"/>
        <w:spacing w:before="0" w:beforeAutospacing="0" w:line="276" w:lineRule="auto"/>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 xml:space="preserve">The selected Implementing Partner (IP) will lead the end-to-end process of designing and implementing the national </w:t>
      </w:r>
      <w:r>
        <w:rPr>
          <w:rFonts w:asciiTheme="minorHAnsi" w:eastAsia="Calibri" w:hAnsiTheme="minorHAnsi" w:cstheme="minorBidi"/>
          <w:sz w:val="22"/>
          <w:szCs w:val="22"/>
        </w:rPr>
        <w:t xml:space="preserve">awareness </w:t>
      </w:r>
      <w:r w:rsidRPr="009752CC">
        <w:rPr>
          <w:rFonts w:asciiTheme="minorHAnsi" w:eastAsia="Calibri" w:hAnsiTheme="minorHAnsi" w:cstheme="minorBidi"/>
          <w:sz w:val="22"/>
          <w:szCs w:val="22"/>
        </w:rPr>
        <w:t>campaign, ensuring coordination with IOM, IPRE, and MIA communication focal points.</w:t>
      </w:r>
    </w:p>
    <w:p w14:paraId="087F790B" w14:textId="77777777" w:rsidR="002D3B86" w:rsidRPr="00AC3A3B" w:rsidRDefault="002D3B86" w:rsidP="002D3B86">
      <w:pPr>
        <w:pStyle w:val="paragraph"/>
        <w:spacing w:before="0" w:beforeAutospacing="0" w:after="0" w:afterAutospacing="0" w:line="276" w:lineRule="auto"/>
        <w:jc w:val="both"/>
        <w:textAlignment w:val="baseline"/>
        <w:rPr>
          <w:rFonts w:asciiTheme="minorHAnsi" w:eastAsia="Calibri" w:hAnsiTheme="minorHAnsi" w:cstheme="minorBidi"/>
          <w:b/>
          <w:bCs/>
          <w:sz w:val="22"/>
          <w:szCs w:val="22"/>
        </w:rPr>
      </w:pPr>
      <w:r w:rsidRPr="009752CC">
        <w:rPr>
          <w:rFonts w:asciiTheme="minorHAnsi" w:eastAsia="Calibri" w:hAnsiTheme="minorHAnsi" w:cstheme="minorBidi"/>
          <w:b/>
          <w:bCs/>
          <w:sz w:val="22"/>
          <w:szCs w:val="22"/>
        </w:rPr>
        <w:t xml:space="preserve">Activity </w:t>
      </w:r>
      <w:r>
        <w:rPr>
          <w:rFonts w:asciiTheme="minorHAnsi" w:eastAsia="Calibri" w:hAnsiTheme="minorHAnsi" w:cstheme="minorBidi"/>
          <w:b/>
          <w:bCs/>
          <w:sz w:val="22"/>
          <w:szCs w:val="22"/>
        </w:rPr>
        <w:t>1</w:t>
      </w:r>
      <w:r w:rsidRPr="009752CC">
        <w:rPr>
          <w:rFonts w:asciiTheme="minorHAnsi" w:eastAsia="Calibri" w:hAnsiTheme="minorHAnsi" w:cstheme="minorBidi"/>
          <w:b/>
          <w:bCs/>
          <w:sz w:val="22"/>
          <w:szCs w:val="22"/>
        </w:rPr>
        <w:t>: Production of Outreach Materials</w:t>
      </w:r>
    </w:p>
    <w:p w14:paraId="1D536328" w14:textId="77777777" w:rsidR="002D3B86" w:rsidRPr="00AC3A3B" w:rsidRDefault="002D3B86" w:rsidP="002D3B86">
      <w:pPr>
        <w:pStyle w:val="paragraph"/>
        <w:spacing w:before="0" w:beforeAutospacing="0" w:after="0" w:afterAutospacing="0" w:line="276" w:lineRule="auto"/>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 xml:space="preserve">Produce and pre-test campaign materials in </w:t>
      </w:r>
      <w:r>
        <w:rPr>
          <w:rFonts w:asciiTheme="minorHAnsi" w:eastAsia="Calibri" w:hAnsiTheme="minorHAnsi" w:cstheme="minorBidi"/>
          <w:sz w:val="22"/>
          <w:szCs w:val="22"/>
        </w:rPr>
        <w:t xml:space="preserve">both </w:t>
      </w:r>
      <w:r w:rsidRPr="009752CC">
        <w:rPr>
          <w:rFonts w:asciiTheme="minorHAnsi" w:eastAsia="Calibri" w:hAnsiTheme="minorHAnsi" w:cstheme="minorBidi"/>
          <w:sz w:val="22"/>
          <w:szCs w:val="22"/>
        </w:rPr>
        <w:t>Romanian and Russian, ensuring inclusive language and accessibility for diverse communities.</w:t>
      </w:r>
    </w:p>
    <w:p w14:paraId="230FA5F0" w14:textId="77777777" w:rsidR="002D3B86" w:rsidRPr="009752CC" w:rsidRDefault="002D3B86" w:rsidP="002D3B86">
      <w:pPr>
        <w:pStyle w:val="paragraph"/>
        <w:spacing w:before="0" w:beforeAutospacing="0" w:after="0" w:afterAutospacing="0" w:line="276" w:lineRule="auto"/>
        <w:textAlignment w:val="baseline"/>
        <w:rPr>
          <w:rFonts w:asciiTheme="minorHAnsi" w:eastAsia="Calibri" w:hAnsiTheme="minorHAnsi" w:cstheme="minorBidi"/>
          <w:sz w:val="22"/>
          <w:szCs w:val="22"/>
        </w:rPr>
      </w:pPr>
      <w:r w:rsidRPr="00AC3A3B">
        <w:rPr>
          <w:rFonts w:asciiTheme="minorHAnsi" w:eastAsia="Calibri" w:hAnsiTheme="minorHAnsi" w:cstheme="minorBidi"/>
          <w:sz w:val="22"/>
          <w:szCs w:val="22"/>
        </w:rPr>
        <w:t xml:space="preserve">                  </w:t>
      </w:r>
      <w:r>
        <w:rPr>
          <w:rFonts w:asciiTheme="minorHAnsi" w:eastAsia="Calibri" w:hAnsiTheme="minorHAnsi" w:cstheme="minorBidi"/>
          <w:sz w:val="22"/>
          <w:szCs w:val="22"/>
        </w:rPr>
        <w:t>Format</w:t>
      </w:r>
      <w:r w:rsidRPr="009752CC">
        <w:rPr>
          <w:rFonts w:asciiTheme="minorHAnsi" w:eastAsia="Calibri" w:hAnsiTheme="minorHAnsi" w:cstheme="minorBidi"/>
          <w:sz w:val="22"/>
          <w:szCs w:val="22"/>
        </w:rPr>
        <w:t xml:space="preserve"> may include:</w:t>
      </w:r>
    </w:p>
    <w:p w14:paraId="2A5DA8B4" w14:textId="77777777" w:rsidR="002D3B86" w:rsidRPr="009752CC" w:rsidRDefault="002D3B86" w:rsidP="002D3B86">
      <w:pPr>
        <w:pStyle w:val="paragraph"/>
        <w:numPr>
          <w:ilvl w:val="1"/>
          <w:numId w:val="39"/>
        </w:numPr>
        <w:spacing w:before="0" w:beforeAutospacing="0" w:after="0" w:afterAutospacing="0" w:line="276" w:lineRule="auto"/>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 xml:space="preserve">Short video spots, animations, and </w:t>
      </w:r>
      <w:proofErr w:type="gramStart"/>
      <w:r w:rsidRPr="009752CC">
        <w:rPr>
          <w:rFonts w:asciiTheme="minorHAnsi" w:eastAsia="Calibri" w:hAnsiTheme="minorHAnsi" w:cstheme="minorBidi"/>
          <w:sz w:val="22"/>
          <w:szCs w:val="22"/>
        </w:rPr>
        <w:t>social-media</w:t>
      </w:r>
      <w:proofErr w:type="gramEnd"/>
      <w:r w:rsidRPr="009752CC">
        <w:rPr>
          <w:rFonts w:asciiTheme="minorHAnsi" w:eastAsia="Calibri" w:hAnsiTheme="minorHAnsi" w:cstheme="minorBidi"/>
          <w:sz w:val="22"/>
          <w:szCs w:val="22"/>
        </w:rPr>
        <w:t xml:space="preserve"> </w:t>
      </w:r>
      <w:proofErr w:type="gramStart"/>
      <w:r w:rsidRPr="009752CC">
        <w:rPr>
          <w:rFonts w:asciiTheme="minorHAnsi" w:eastAsia="Calibri" w:hAnsiTheme="minorHAnsi" w:cstheme="minorBidi"/>
          <w:sz w:val="22"/>
          <w:szCs w:val="22"/>
        </w:rPr>
        <w:t>series;</w:t>
      </w:r>
      <w:proofErr w:type="gramEnd"/>
    </w:p>
    <w:p w14:paraId="661DC3ED" w14:textId="77777777" w:rsidR="002D3B86" w:rsidRPr="009752CC" w:rsidRDefault="002D3B86" w:rsidP="002D3B86">
      <w:pPr>
        <w:pStyle w:val="paragraph"/>
        <w:numPr>
          <w:ilvl w:val="1"/>
          <w:numId w:val="39"/>
        </w:numPr>
        <w:spacing w:before="0" w:beforeAutospacing="0" w:after="0" w:afterAutospacing="0" w:line="276" w:lineRule="auto"/>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 xml:space="preserve">Radio broadcasts, podcasts, or talk </w:t>
      </w:r>
      <w:proofErr w:type="gramStart"/>
      <w:r w:rsidRPr="009752CC">
        <w:rPr>
          <w:rFonts w:asciiTheme="minorHAnsi" w:eastAsia="Calibri" w:hAnsiTheme="minorHAnsi" w:cstheme="minorBidi"/>
          <w:sz w:val="22"/>
          <w:szCs w:val="22"/>
        </w:rPr>
        <w:t>shows;</w:t>
      </w:r>
      <w:proofErr w:type="gramEnd"/>
    </w:p>
    <w:p w14:paraId="1EF24054" w14:textId="77777777" w:rsidR="002D3B86" w:rsidRPr="009752CC" w:rsidRDefault="002D3B86" w:rsidP="002D3B86">
      <w:pPr>
        <w:pStyle w:val="paragraph"/>
        <w:numPr>
          <w:ilvl w:val="1"/>
          <w:numId w:val="39"/>
        </w:numPr>
        <w:spacing w:before="0" w:beforeAutospacing="0" w:after="0" w:afterAutospacing="0" w:line="276" w:lineRule="auto"/>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 xml:space="preserve">Infographics, brochures, posters, and community </w:t>
      </w:r>
      <w:proofErr w:type="gramStart"/>
      <w:r w:rsidRPr="009752CC">
        <w:rPr>
          <w:rFonts w:asciiTheme="minorHAnsi" w:eastAsia="Calibri" w:hAnsiTheme="minorHAnsi" w:cstheme="minorBidi"/>
          <w:sz w:val="22"/>
          <w:szCs w:val="22"/>
        </w:rPr>
        <w:t>banners;</w:t>
      </w:r>
      <w:proofErr w:type="gramEnd"/>
    </w:p>
    <w:p w14:paraId="4E9A9934" w14:textId="77777777" w:rsidR="002D3B86" w:rsidRDefault="002D3B86" w:rsidP="002D3B86">
      <w:pPr>
        <w:pStyle w:val="paragraph"/>
        <w:numPr>
          <w:ilvl w:val="1"/>
          <w:numId w:val="39"/>
        </w:numPr>
        <w:spacing w:before="0" w:beforeAutospacing="0" w:after="0" w:afterAutospacing="0" w:line="276" w:lineRule="auto"/>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lastRenderedPageBreak/>
        <w:t>A visual identity package consistent with EU and IOM visibility guidelines.</w:t>
      </w:r>
    </w:p>
    <w:p w14:paraId="1BF42CB2" w14:textId="77777777" w:rsidR="002D3B86" w:rsidRDefault="002D3B86" w:rsidP="002D3B86">
      <w:pPr>
        <w:pStyle w:val="paragraph"/>
        <w:spacing w:before="0" w:beforeAutospacing="0" w:after="0" w:afterAutospacing="0" w:line="276" w:lineRule="auto"/>
        <w:jc w:val="both"/>
        <w:textAlignment w:val="baseline"/>
        <w:rPr>
          <w:rFonts w:asciiTheme="minorHAnsi" w:eastAsia="Calibri" w:hAnsiTheme="minorHAnsi" w:cstheme="minorBidi"/>
          <w:b/>
          <w:bCs/>
          <w:sz w:val="22"/>
          <w:szCs w:val="22"/>
        </w:rPr>
      </w:pPr>
      <w:r w:rsidRPr="00B06661">
        <w:rPr>
          <w:rFonts w:asciiTheme="minorHAnsi" w:eastAsia="Calibri" w:hAnsiTheme="minorHAnsi" w:cstheme="minorBidi"/>
          <w:b/>
          <w:bCs/>
          <w:sz w:val="22"/>
          <w:szCs w:val="22"/>
        </w:rPr>
        <w:t>Activity 2:  Support and coordination of awareness raising activities of CSOs involved in the project implementation</w:t>
      </w:r>
    </w:p>
    <w:p w14:paraId="0163631D" w14:textId="77777777" w:rsidR="002D3B86" w:rsidRPr="0081780C" w:rsidRDefault="002D3B86" w:rsidP="002D3B86">
      <w:pPr>
        <w:pStyle w:val="paragraph"/>
        <w:spacing w:before="0" w:beforeAutospacing="0" w:after="0" w:afterAutospacing="0"/>
        <w:jc w:val="both"/>
        <w:textAlignment w:val="baseline"/>
        <w:rPr>
          <w:rFonts w:asciiTheme="minorHAnsi" w:eastAsia="Calibri" w:hAnsiTheme="minorHAnsi" w:cstheme="minorBidi"/>
          <w:sz w:val="22"/>
          <w:szCs w:val="22"/>
        </w:rPr>
      </w:pPr>
      <w:r w:rsidRPr="0081780C">
        <w:rPr>
          <w:rFonts w:asciiTheme="minorHAnsi" w:eastAsia="Calibri" w:hAnsiTheme="minorHAnsi" w:cstheme="minorBidi"/>
          <w:sz w:val="22"/>
          <w:szCs w:val="22"/>
        </w:rPr>
        <w:t>• Coordinate and liaise with the IOM Communication Unit on awareness-raising activities implemented under the project.</w:t>
      </w:r>
    </w:p>
    <w:p w14:paraId="5CDDF6B9" w14:textId="77777777" w:rsidR="002D3B86" w:rsidRPr="0081780C" w:rsidRDefault="002D3B86" w:rsidP="002D3B86">
      <w:pPr>
        <w:pStyle w:val="paragraph"/>
        <w:spacing w:before="0" w:beforeAutospacing="0" w:after="0" w:afterAutospacing="0"/>
        <w:jc w:val="both"/>
        <w:textAlignment w:val="baseline"/>
        <w:rPr>
          <w:rFonts w:asciiTheme="minorHAnsi" w:eastAsia="Calibri" w:hAnsiTheme="minorHAnsi" w:cstheme="minorBidi"/>
          <w:sz w:val="22"/>
          <w:szCs w:val="22"/>
        </w:rPr>
      </w:pPr>
      <w:r w:rsidRPr="0081780C">
        <w:rPr>
          <w:rFonts w:asciiTheme="minorHAnsi" w:eastAsia="Calibri" w:hAnsiTheme="minorHAnsi" w:cstheme="minorBidi"/>
          <w:sz w:val="22"/>
          <w:szCs w:val="22"/>
        </w:rPr>
        <w:t>• Organize and deliver a general training session for CSOs involved in project implementation, focusing on effective and coordinated awareness-raising strategies.</w:t>
      </w:r>
    </w:p>
    <w:p w14:paraId="4A4EF0F9" w14:textId="77777777" w:rsidR="002D3B86" w:rsidRPr="0081780C" w:rsidRDefault="002D3B86" w:rsidP="002D3B86">
      <w:pPr>
        <w:pStyle w:val="paragraph"/>
        <w:spacing w:before="0" w:beforeAutospacing="0" w:after="0" w:afterAutospacing="0" w:line="276" w:lineRule="auto"/>
        <w:jc w:val="both"/>
        <w:textAlignment w:val="baseline"/>
        <w:rPr>
          <w:rFonts w:asciiTheme="minorHAnsi" w:eastAsia="Calibri" w:hAnsiTheme="minorHAnsi" w:cstheme="minorBidi"/>
          <w:sz w:val="22"/>
          <w:szCs w:val="22"/>
        </w:rPr>
      </w:pPr>
      <w:r w:rsidRPr="0081780C">
        <w:rPr>
          <w:rFonts w:asciiTheme="minorHAnsi" w:eastAsia="Calibri" w:hAnsiTheme="minorHAnsi" w:cstheme="minorBidi"/>
          <w:sz w:val="22"/>
          <w:szCs w:val="22"/>
        </w:rPr>
        <w:t>• Support and oversee awareness-raising activities carried out by the selected CSOs under the project</w:t>
      </w:r>
      <w:r>
        <w:rPr>
          <w:rFonts w:asciiTheme="minorHAnsi" w:eastAsia="Calibri" w:hAnsiTheme="minorHAnsi" w:cstheme="minorBidi"/>
          <w:sz w:val="22"/>
          <w:szCs w:val="22"/>
        </w:rPr>
        <w:t>, provide mentoring on implementation on efficient and ethical awareness raising</w:t>
      </w:r>
      <w:r w:rsidRPr="0081780C">
        <w:rPr>
          <w:rFonts w:asciiTheme="minorHAnsi" w:eastAsia="Calibri" w:hAnsiTheme="minorHAnsi" w:cstheme="minorBidi"/>
          <w:sz w:val="22"/>
          <w:szCs w:val="22"/>
        </w:rPr>
        <w:t>.</w:t>
      </w:r>
    </w:p>
    <w:p w14:paraId="517F56A0" w14:textId="77777777" w:rsidR="002D3B86" w:rsidRPr="009752CC" w:rsidRDefault="002D3B86" w:rsidP="002D3B86">
      <w:pPr>
        <w:pStyle w:val="paragraph"/>
        <w:spacing w:before="0" w:beforeAutospacing="0" w:after="0" w:afterAutospacing="0" w:line="276" w:lineRule="auto"/>
        <w:jc w:val="both"/>
        <w:textAlignment w:val="baseline"/>
        <w:rPr>
          <w:rFonts w:asciiTheme="minorHAnsi" w:eastAsia="Calibri" w:hAnsiTheme="minorHAnsi" w:cstheme="minorBidi"/>
          <w:b/>
          <w:bCs/>
          <w:sz w:val="22"/>
          <w:szCs w:val="22"/>
        </w:rPr>
      </w:pPr>
      <w:r w:rsidRPr="009752CC">
        <w:rPr>
          <w:rFonts w:asciiTheme="minorHAnsi" w:eastAsia="Calibri" w:hAnsiTheme="minorHAnsi" w:cstheme="minorBidi"/>
          <w:b/>
          <w:bCs/>
          <w:sz w:val="22"/>
          <w:szCs w:val="22"/>
        </w:rPr>
        <w:t xml:space="preserve">Activity </w:t>
      </w:r>
      <w:r>
        <w:rPr>
          <w:rFonts w:asciiTheme="minorHAnsi" w:eastAsia="Calibri" w:hAnsiTheme="minorHAnsi" w:cstheme="minorBidi"/>
          <w:b/>
          <w:bCs/>
          <w:sz w:val="22"/>
          <w:szCs w:val="22"/>
        </w:rPr>
        <w:t>3</w:t>
      </w:r>
      <w:r w:rsidRPr="009752CC">
        <w:rPr>
          <w:rFonts w:asciiTheme="minorHAnsi" w:eastAsia="Calibri" w:hAnsiTheme="minorHAnsi" w:cstheme="minorBidi"/>
          <w:b/>
          <w:bCs/>
          <w:sz w:val="22"/>
          <w:szCs w:val="22"/>
        </w:rPr>
        <w:t>: Campaign Implementation</w:t>
      </w:r>
    </w:p>
    <w:p w14:paraId="1D2B0D9F" w14:textId="77777777" w:rsidR="002D3B86" w:rsidRPr="009752CC" w:rsidRDefault="002D3B86" w:rsidP="002D3B86">
      <w:pPr>
        <w:pStyle w:val="paragraph"/>
        <w:numPr>
          <w:ilvl w:val="0"/>
          <w:numId w:val="40"/>
        </w:numPr>
        <w:spacing w:before="0" w:beforeAutospacing="0" w:after="0" w:afterAutospacing="0" w:line="276" w:lineRule="auto"/>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Launch a nationwide, multi-channel awareness campaign covering digital, broadcast, and community-based outreach.</w:t>
      </w:r>
    </w:p>
    <w:p w14:paraId="17B649E8" w14:textId="77777777" w:rsidR="002D3B86" w:rsidRPr="009752CC" w:rsidRDefault="002D3B86" w:rsidP="002D3B86">
      <w:pPr>
        <w:pStyle w:val="paragraph"/>
        <w:numPr>
          <w:ilvl w:val="0"/>
          <w:numId w:val="40"/>
        </w:numPr>
        <w:spacing w:before="0" w:beforeAutospacing="0" w:after="0" w:afterAutospacing="0" w:line="276" w:lineRule="auto"/>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Organize community-level information sessions, debates, and open days in cooperation with local CSOs and MIA representatives.</w:t>
      </w:r>
    </w:p>
    <w:p w14:paraId="473E0526" w14:textId="77777777" w:rsidR="002D3B86" w:rsidRPr="009752CC" w:rsidRDefault="002D3B86" w:rsidP="002D3B86">
      <w:pPr>
        <w:pStyle w:val="paragraph"/>
        <w:numPr>
          <w:ilvl w:val="0"/>
          <w:numId w:val="40"/>
        </w:numPr>
        <w:spacing w:before="0" w:beforeAutospacing="0" w:after="0" w:afterAutospacing="0" w:line="276" w:lineRule="auto"/>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 xml:space="preserve">Engage media partners, influencers, and youth organizations to amplify </w:t>
      </w:r>
      <w:r>
        <w:rPr>
          <w:rFonts w:asciiTheme="minorHAnsi" w:eastAsia="Calibri" w:hAnsiTheme="minorHAnsi" w:cstheme="minorBidi"/>
          <w:sz w:val="22"/>
          <w:szCs w:val="22"/>
        </w:rPr>
        <w:t>out</w:t>
      </w:r>
      <w:r w:rsidRPr="009752CC">
        <w:rPr>
          <w:rFonts w:asciiTheme="minorHAnsi" w:eastAsia="Calibri" w:hAnsiTheme="minorHAnsi" w:cstheme="minorBidi"/>
          <w:sz w:val="22"/>
          <w:szCs w:val="22"/>
        </w:rPr>
        <w:t>reach.</w:t>
      </w:r>
    </w:p>
    <w:p w14:paraId="315861AA" w14:textId="77777777" w:rsidR="002D3B86" w:rsidRPr="00AC3A3B" w:rsidRDefault="002D3B86" w:rsidP="002D3B86">
      <w:pPr>
        <w:pStyle w:val="paragraph"/>
        <w:numPr>
          <w:ilvl w:val="0"/>
          <w:numId w:val="40"/>
        </w:numPr>
        <w:spacing w:before="0" w:beforeAutospacing="0" w:after="0" w:afterAutospacing="0" w:line="276" w:lineRule="auto"/>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Coordinate timing with key EU integration milestones (e.g., annual reports, reform announcements).</w:t>
      </w:r>
    </w:p>
    <w:p w14:paraId="26A78EF3" w14:textId="77777777" w:rsidR="002D3B86" w:rsidRPr="009752CC" w:rsidRDefault="002D3B86" w:rsidP="002D3B86">
      <w:pPr>
        <w:pStyle w:val="paragraph"/>
        <w:spacing w:before="0" w:beforeAutospacing="0" w:after="0" w:afterAutospacing="0" w:line="276" w:lineRule="auto"/>
        <w:jc w:val="both"/>
        <w:textAlignment w:val="baseline"/>
        <w:rPr>
          <w:rFonts w:asciiTheme="minorHAnsi" w:eastAsia="Calibri" w:hAnsiTheme="minorHAnsi" w:cstheme="minorBidi"/>
          <w:b/>
          <w:bCs/>
          <w:sz w:val="22"/>
          <w:szCs w:val="22"/>
        </w:rPr>
      </w:pPr>
      <w:r w:rsidRPr="009752CC">
        <w:rPr>
          <w:rFonts w:asciiTheme="minorHAnsi" w:eastAsia="Calibri" w:hAnsiTheme="minorHAnsi" w:cstheme="minorBidi"/>
          <w:b/>
          <w:bCs/>
          <w:sz w:val="22"/>
          <w:szCs w:val="22"/>
        </w:rPr>
        <w:t xml:space="preserve">Activity </w:t>
      </w:r>
      <w:r>
        <w:rPr>
          <w:rFonts w:asciiTheme="minorHAnsi" w:eastAsia="Calibri" w:hAnsiTheme="minorHAnsi" w:cstheme="minorBidi"/>
          <w:b/>
          <w:bCs/>
          <w:sz w:val="22"/>
          <w:szCs w:val="22"/>
        </w:rPr>
        <w:t>4</w:t>
      </w:r>
      <w:r w:rsidRPr="009752CC">
        <w:rPr>
          <w:rFonts w:asciiTheme="minorHAnsi" w:eastAsia="Calibri" w:hAnsiTheme="minorHAnsi" w:cstheme="minorBidi"/>
          <w:b/>
          <w:bCs/>
          <w:sz w:val="22"/>
          <w:szCs w:val="22"/>
        </w:rPr>
        <w:t>: Monitoring, Feedback, and Adaptation</w:t>
      </w:r>
    </w:p>
    <w:p w14:paraId="0523D21A" w14:textId="77777777" w:rsidR="002D3B86" w:rsidRPr="009752CC" w:rsidRDefault="002D3B86" w:rsidP="002D3B86">
      <w:pPr>
        <w:pStyle w:val="paragraph"/>
        <w:numPr>
          <w:ilvl w:val="0"/>
          <w:numId w:val="41"/>
        </w:numPr>
        <w:spacing w:before="0" w:beforeAutospacing="0" w:after="0" w:afterAutospacing="0" w:line="276" w:lineRule="auto"/>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Use both quantitative and qualitative tools to measure reach and impact (social-media analytics, event attendance, pre/post surveys).</w:t>
      </w:r>
    </w:p>
    <w:p w14:paraId="4A3FF068" w14:textId="77777777" w:rsidR="002D3B86" w:rsidRPr="009752CC" w:rsidRDefault="002D3B86" w:rsidP="002D3B86">
      <w:pPr>
        <w:pStyle w:val="paragraph"/>
        <w:numPr>
          <w:ilvl w:val="0"/>
          <w:numId w:val="41"/>
        </w:numPr>
        <w:spacing w:before="0" w:beforeAutospacing="0" w:after="0" w:afterAutospacing="0" w:line="276" w:lineRule="auto"/>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Establish feedback mechanisms (hotline, online forms, CSO channels).</w:t>
      </w:r>
    </w:p>
    <w:p w14:paraId="11F6B221" w14:textId="77777777" w:rsidR="002D3B86" w:rsidRPr="009752CC" w:rsidRDefault="002D3B86" w:rsidP="002D3B86">
      <w:pPr>
        <w:pStyle w:val="paragraph"/>
        <w:numPr>
          <w:ilvl w:val="0"/>
          <w:numId w:val="41"/>
        </w:numPr>
        <w:spacing w:before="0" w:beforeAutospacing="0" w:after="0" w:afterAutospacing="0" w:line="276" w:lineRule="auto"/>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Adjust campaign components based on findings.</w:t>
      </w:r>
    </w:p>
    <w:p w14:paraId="401C687E" w14:textId="77777777" w:rsidR="002D3B86" w:rsidRPr="009752CC" w:rsidRDefault="002D3B86" w:rsidP="002D3B86">
      <w:pPr>
        <w:pStyle w:val="paragraph"/>
        <w:spacing w:before="0" w:beforeAutospacing="0" w:after="0" w:afterAutospacing="0" w:line="276" w:lineRule="auto"/>
        <w:jc w:val="both"/>
        <w:textAlignment w:val="baseline"/>
        <w:rPr>
          <w:rFonts w:asciiTheme="minorHAnsi" w:eastAsia="Calibri" w:hAnsiTheme="minorHAnsi" w:cstheme="minorBidi"/>
          <w:b/>
          <w:bCs/>
          <w:sz w:val="22"/>
          <w:szCs w:val="22"/>
        </w:rPr>
      </w:pPr>
      <w:r w:rsidRPr="009752CC">
        <w:rPr>
          <w:rFonts w:asciiTheme="minorHAnsi" w:eastAsia="Calibri" w:hAnsiTheme="minorHAnsi" w:cstheme="minorBidi"/>
          <w:b/>
          <w:bCs/>
          <w:sz w:val="22"/>
          <w:szCs w:val="22"/>
        </w:rPr>
        <w:t xml:space="preserve">Activity </w:t>
      </w:r>
      <w:r>
        <w:rPr>
          <w:rFonts w:asciiTheme="minorHAnsi" w:eastAsia="Calibri" w:hAnsiTheme="minorHAnsi" w:cstheme="minorBidi"/>
          <w:b/>
          <w:bCs/>
          <w:sz w:val="22"/>
          <w:szCs w:val="22"/>
        </w:rPr>
        <w:t>5</w:t>
      </w:r>
      <w:r w:rsidRPr="009752CC">
        <w:rPr>
          <w:rFonts w:asciiTheme="minorHAnsi" w:eastAsia="Calibri" w:hAnsiTheme="minorHAnsi" w:cstheme="minorBidi"/>
          <w:b/>
          <w:bCs/>
          <w:sz w:val="22"/>
          <w:szCs w:val="22"/>
        </w:rPr>
        <w:t>: Evaluation and Knowledge Sharing</w:t>
      </w:r>
    </w:p>
    <w:p w14:paraId="1CE16EB6" w14:textId="77777777" w:rsidR="002D3B86" w:rsidRPr="009752CC" w:rsidRDefault="002D3B86" w:rsidP="002D3B86">
      <w:pPr>
        <w:pStyle w:val="paragraph"/>
        <w:numPr>
          <w:ilvl w:val="0"/>
          <w:numId w:val="42"/>
        </w:numPr>
        <w:spacing w:before="0" w:beforeAutospacing="0" w:after="0" w:afterAutospacing="0" w:line="276" w:lineRule="auto"/>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Conduct a final evaluation of campaign effectiveness and produce a Lessons Learned and Recommendations Report.</w:t>
      </w:r>
    </w:p>
    <w:p w14:paraId="0F60F3CB" w14:textId="77777777" w:rsidR="002D3B86" w:rsidRPr="009752CC" w:rsidRDefault="002D3B86" w:rsidP="002D3B86">
      <w:pPr>
        <w:pStyle w:val="paragraph"/>
        <w:numPr>
          <w:ilvl w:val="0"/>
          <w:numId w:val="42"/>
        </w:numPr>
        <w:spacing w:before="0" w:beforeAutospacing="0" w:after="0" w:afterAutospacing="0" w:line="276" w:lineRule="auto"/>
        <w:jc w:val="both"/>
        <w:textAlignment w:val="baseline"/>
        <w:rPr>
          <w:rFonts w:asciiTheme="minorHAnsi" w:eastAsia="Calibri" w:hAnsiTheme="minorHAnsi" w:cstheme="minorBidi"/>
          <w:sz w:val="22"/>
          <w:szCs w:val="22"/>
        </w:rPr>
      </w:pPr>
      <w:r w:rsidRPr="009752CC">
        <w:rPr>
          <w:rFonts w:asciiTheme="minorHAnsi" w:eastAsia="Calibri" w:hAnsiTheme="minorHAnsi" w:cstheme="minorBidi"/>
          <w:sz w:val="22"/>
          <w:szCs w:val="22"/>
        </w:rPr>
        <w:t>Present results in a final debriefing session with IOM, MIA, and CSO4MIA stakeholders.</w:t>
      </w:r>
    </w:p>
    <w:p w14:paraId="0907BA37" w14:textId="77777777" w:rsidR="002D3B86" w:rsidRPr="00AC3A3B" w:rsidRDefault="002D3B86" w:rsidP="002D3B86">
      <w:pPr>
        <w:pStyle w:val="paragraph"/>
        <w:spacing w:before="0" w:beforeAutospacing="0" w:after="0" w:afterAutospacing="0" w:line="276" w:lineRule="auto"/>
        <w:jc w:val="both"/>
        <w:textAlignment w:val="baseline"/>
        <w:rPr>
          <w:rFonts w:asciiTheme="minorHAnsi" w:eastAsia="Calibri" w:hAnsiTheme="minorHAnsi" w:cstheme="minorBidi"/>
          <w:sz w:val="22"/>
          <w:szCs w:val="22"/>
        </w:rPr>
      </w:pPr>
    </w:p>
    <w:p w14:paraId="211B272B" w14:textId="77777777" w:rsidR="0024366C" w:rsidRPr="00D00051" w:rsidRDefault="00C529A8" w:rsidP="0091364B">
      <w:pPr>
        <w:tabs>
          <w:tab w:val="left" w:pos="840"/>
        </w:tabs>
        <w:spacing w:after="120" w:line="240" w:lineRule="auto"/>
        <w:rPr>
          <w:rFonts w:eastAsia="Arial" w:cstheme="minorHAnsi"/>
        </w:rPr>
      </w:pPr>
      <w:r w:rsidRPr="00D00051">
        <w:rPr>
          <w:rFonts w:eastAsia="Arial" w:cstheme="minorHAnsi"/>
          <w:position w:val="-4"/>
        </w:rPr>
        <w:t>7</w:t>
      </w:r>
      <w:r w:rsidRPr="00D00051">
        <w:rPr>
          <w:rFonts w:eastAsia="Arial" w:cstheme="minorHAnsi"/>
          <w:position w:val="-4"/>
        </w:rPr>
        <w:tab/>
      </w:r>
      <w:r w:rsidRPr="00D00051">
        <w:rPr>
          <w:rFonts w:eastAsia="Arial" w:cstheme="minorHAnsi"/>
          <w:b/>
          <w:bCs/>
          <w:i/>
        </w:rPr>
        <w:t>Indicative Budget</w:t>
      </w:r>
    </w:p>
    <w:p w14:paraId="4D67F7B2" w14:textId="58DF1038" w:rsidR="006F5524" w:rsidRPr="00A4613F" w:rsidDel="00E46C14" w:rsidRDefault="006F5524" w:rsidP="006F5524">
      <w:pPr>
        <w:tabs>
          <w:tab w:val="left" w:pos="450"/>
          <w:tab w:val="left" w:pos="840"/>
        </w:tabs>
        <w:spacing w:after="120" w:line="240" w:lineRule="auto"/>
        <w:ind w:left="360"/>
        <w:jc w:val="both"/>
        <w:rPr>
          <w:rFonts w:eastAsiaTheme="minorEastAsia"/>
          <w:color w:val="000000" w:themeColor="text1"/>
          <w:lang w:val="en-GB"/>
        </w:rPr>
      </w:pPr>
      <w:r w:rsidRPr="005F1BB1">
        <w:rPr>
          <w:rFonts w:eastAsiaTheme="minorEastAsia"/>
          <w:color w:val="000000" w:themeColor="text1"/>
          <w:position w:val="-1"/>
          <w:lang w:val="en-GB"/>
        </w:rPr>
        <w:t xml:space="preserve">The budget should be based on the proposed implementation logic. The Applicants should provide </w:t>
      </w:r>
      <w:r w:rsidRPr="1BEA141F">
        <w:rPr>
          <w:rFonts w:eastAsiaTheme="minorEastAsia"/>
          <w:color w:val="000000" w:themeColor="text1"/>
          <w:lang w:val="en-GB"/>
        </w:rPr>
        <w:t xml:space="preserve">the </w:t>
      </w:r>
      <w:r w:rsidRPr="005F1BB1">
        <w:rPr>
          <w:rFonts w:eastAsiaTheme="minorEastAsia"/>
          <w:color w:val="000000" w:themeColor="text1"/>
          <w:position w:val="-1"/>
          <w:lang w:val="en-GB"/>
        </w:rPr>
        <w:t xml:space="preserve">budget using </w:t>
      </w:r>
      <w:r w:rsidRPr="1BEA141F">
        <w:rPr>
          <w:rFonts w:eastAsiaTheme="minorEastAsia"/>
          <w:color w:val="000000" w:themeColor="text1"/>
          <w:lang w:val="en-GB"/>
        </w:rPr>
        <w:t xml:space="preserve">a </w:t>
      </w:r>
      <w:r w:rsidRPr="005F1BB1">
        <w:rPr>
          <w:rFonts w:eastAsiaTheme="minorEastAsia"/>
          <w:color w:val="000000" w:themeColor="text1"/>
          <w:position w:val="-1"/>
          <w:lang w:val="en-GB"/>
        </w:rPr>
        <w:t xml:space="preserve">template provided in </w:t>
      </w:r>
      <w:r w:rsidRPr="1BEA141F">
        <w:rPr>
          <w:rFonts w:eastAsiaTheme="minorEastAsia"/>
          <w:color w:val="000000" w:themeColor="text1"/>
          <w:lang w:val="en-GB"/>
        </w:rPr>
        <w:t xml:space="preserve">the </w:t>
      </w:r>
      <w:r w:rsidRPr="005F1BB1">
        <w:rPr>
          <w:rFonts w:eastAsiaTheme="minorEastAsia"/>
          <w:color w:val="000000" w:themeColor="text1"/>
          <w:position w:val="-1"/>
          <w:lang w:val="en-GB"/>
        </w:rPr>
        <w:t xml:space="preserve">Budget Template (Annex </w:t>
      </w:r>
      <w:r>
        <w:rPr>
          <w:rFonts w:eastAsiaTheme="minorEastAsia"/>
          <w:color w:val="000000" w:themeColor="text1"/>
          <w:position w:val="-1"/>
          <w:lang w:val="en-GB"/>
        </w:rPr>
        <w:t>H</w:t>
      </w:r>
      <w:r w:rsidRPr="005F1BB1">
        <w:rPr>
          <w:rFonts w:eastAsiaTheme="minorEastAsia"/>
          <w:color w:val="000000" w:themeColor="text1"/>
          <w:position w:val="-1"/>
          <w:lang w:val="en-GB"/>
        </w:rPr>
        <w:t xml:space="preserve">).  The budget should not </w:t>
      </w:r>
      <w:r w:rsidRPr="00A4613F">
        <w:rPr>
          <w:rFonts w:eastAsiaTheme="minorEastAsia"/>
          <w:color w:val="000000" w:themeColor="text1"/>
          <w:position w:val="-1"/>
          <w:lang w:val="en-GB"/>
        </w:rPr>
        <w:t xml:space="preserve">exceed </w:t>
      </w:r>
      <w:r>
        <w:rPr>
          <w:rFonts w:eastAsiaTheme="minorEastAsia"/>
          <w:color w:val="000000" w:themeColor="text1"/>
          <w:position w:val="-1"/>
          <w:lang w:val="en-GB"/>
        </w:rPr>
        <w:t xml:space="preserve">the equivalence of </w:t>
      </w:r>
      <w:r w:rsidRPr="006F5524">
        <w:rPr>
          <w:rFonts w:eastAsiaTheme="minorEastAsia"/>
          <w:b/>
          <w:bCs/>
          <w:i/>
          <w:iCs/>
          <w:color w:val="000000" w:themeColor="text1"/>
          <w:position w:val="-1"/>
          <w:lang w:val="en-GB"/>
        </w:rPr>
        <w:t>EUR</w:t>
      </w:r>
      <w:r w:rsidRPr="006F5524">
        <w:rPr>
          <w:rFonts w:eastAsiaTheme="minorEastAsia"/>
          <w:b/>
          <w:bCs/>
          <w:i/>
          <w:iCs/>
          <w:color w:val="000000" w:themeColor="text1"/>
          <w:lang w:val="en-GB"/>
        </w:rPr>
        <w:t xml:space="preserve"> 42,000</w:t>
      </w:r>
      <w:r>
        <w:rPr>
          <w:rFonts w:eastAsiaTheme="minorEastAsia"/>
          <w:color w:val="000000" w:themeColor="text1"/>
          <w:lang w:val="en-GB"/>
        </w:rPr>
        <w:t xml:space="preserve"> </w:t>
      </w:r>
      <w:r>
        <w:rPr>
          <w:rFonts w:eastAsiaTheme="minorEastAsia"/>
          <w:color w:val="000000" w:themeColor="text1"/>
          <w:lang w:val="en-GB"/>
        </w:rPr>
        <w:t>(forty-two thousand EUR)</w:t>
      </w:r>
      <w:r w:rsidRPr="00A4613F">
        <w:rPr>
          <w:rFonts w:eastAsiaTheme="minorEastAsia"/>
          <w:color w:val="000000" w:themeColor="text1"/>
          <w:position w:val="-1"/>
          <w:lang w:val="en-GB"/>
        </w:rPr>
        <w:t>.</w:t>
      </w:r>
    </w:p>
    <w:p w14:paraId="2896568F" w14:textId="484F591C" w:rsidR="006F5524" w:rsidRPr="005F1BB1" w:rsidRDefault="006F5524" w:rsidP="006F5524">
      <w:pPr>
        <w:tabs>
          <w:tab w:val="left" w:pos="450"/>
          <w:tab w:val="left" w:pos="840"/>
        </w:tabs>
        <w:spacing w:after="120" w:line="240" w:lineRule="auto"/>
        <w:ind w:left="360"/>
        <w:jc w:val="both"/>
        <w:rPr>
          <w:rFonts w:eastAsia="Arial" w:cstheme="minorHAnsi"/>
          <w:position w:val="-4"/>
          <w:lang w:val="en-GB"/>
        </w:rPr>
      </w:pPr>
      <w:r w:rsidRPr="00EA2817">
        <w:rPr>
          <w:rFonts w:eastAsiaTheme="minorEastAsia"/>
          <w:color w:val="000000" w:themeColor="text1"/>
          <w:lang w:val="en-GB"/>
        </w:rPr>
        <w:t>The I</w:t>
      </w:r>
      <w:r>
        <w:rPr>
          <w:rFonts w:eastAsiaTheme="minorEastAsia"/>
          <w:color w:val="000000" w:themeColor="text1"/>
          <w:lang w:val="en-GB"/>
        </w:rPr>
        <w:t xml:space="preserve">mplementing </w:t>
      </w:r>
      <w:r w:rsidRPr="00EA2817">
        <w:rPr>
          <w:rFonts w:eastAsiaTheme="minorEastAsia"/>
          <w:color w:val="000000" w:themeColor="text1"/>
          <w:lang w:val="en-GB"/>
        </w:rPr>
        <w:t>P</w:t>
      </w:r>
      <w:r>
        <w:rPr>
          <w:rFonts w:eastAsiaTheme="minorEastAsia"/>
          <w:color w:val="000000" w:themeColor="text1"/>
          <w:lang w:val="en-GB"/>
        </w:rPr>
        <w:t>artner</w:t>
      </w:r>
      <w:r w:rsidRPr="00EA2817">
        <w:rPr>
          <w:rFonts w:eastAsiaTheme="minorEastAsia"/>
          <w:color w:val="000000" w:themeColor="text1"/>
          <w:lang w:val="en-GB"/>
        </w:rPr>
        <w:t xml:space="preserve"> should carefully assess, calculate and budget all costs </w:t>
      </w:r>
      <w:r w:rsidRPr="00F73B7D">
        <w:rPr>
          <w:rFonts w:eastAsiaTheme="minorEastAsia"/>
          <w:color w:val="000000" w:themeColor="text1"/>
          <w:lang w:val="en-GB"/>
        </w:rPr>
        <w:t xml:space="preserve">related to the implementation of the proposed </w:t>
      </w:r>
      <w:r>
        <w:rPr>
          <w:rFonts w:eastAsiaTheme="minorEastAsia"/>
          <w:color w:val="000000" w:themeColor="text1"/>
          <w:lang w:val="en-GB"/>
        </w:rPr>
        <w:t>A</w:t>
      </w:r>
      <w:r w:rsidRPr="00F73B7D">
        <w:rPr>
          <w:rFonts w:eastAsiaTheme="minorEastAsia"/>
          <w:color w:val="000000" w:themeColor="text1"/>
          <w:lang w:val="en-GB"/>
        </w:rPr>
        <w:t>ctivities. These may include costs to cover the capacity development of IP staff to perform the duties associated with the delivery of the proposed activities, translation support, etc</w:t>
      </w:r>
      <w:r>
        <w:rPr>
          <w:rFonts w:eastAsiaTheme="minorEastAsia"/>
          <w:color w:val="000000" w:themeColor="text1"/>
          <w:lang w:val="en-GB"/>
        </w:rPr>
        <w:t>. (</w:t>
      </w:r>
      <w:r w:rsidRPr="00F73B7D">
        <w:rPr>
          <w:rFonts w:eastAsiaTheme="minorEastAsia"/>
          <w:color w:val="000000" w:themeColor="text1"/>
          <w:lang w:val="en-GB"/>
        </w:rPr>
        <w:t>reporting language is English</w:t>
      </w:r>
      <w:r>
        <w:rPr>
          <w:rFonts w:eastAsiaTheme="minorEastAsia"/>
          <w:color w:val="000000" w:themeColor="text1"/>
          <w:lang w:val="en-GB"/>
        </w:rPr>
        <w:t>)</w:t>
      </w:r>
      <w:r w:rsidRPr="00F73B7D">
        <w:rPr>
          <w:rFonts w:eastAsiaTheme="minorEastAsia"/>
          <w:color w:val="000000" w:themeColor="text1"/>
          <w:lang w:val="en-GB"/>
        </w:rPr>
        <w:t xml:space="preserve">. </w:t>
      </w:r>
    </w:p>
    <w:p w14:paraId="242D1677" w14:textId="2A837F32" w:rsidR="00B50929" w:rsidRDefault="00B50929" w:rsidP="006F5524">
      <w:pPr>
        <w:tabs>
          <w:tab w:val="left" w:pos="810"/>
        </w:tabs>
        <w:spacing w:after="120" w:line="240" w:lineRule="auto"/>
        <w:rPr>
          <w:rFonts w:eastAsia="Arial" w:cstheme="minorHAnsi"/>
          <w:position w:val="-4"/>
        </w:rPr>
      </w:pPr>
    </w:p>
    <w:p w14:paraId="2BE22055" w14:textId="521FAC98" w:rsidR="0024366C" w:rsidRPr="00D00051" w:rsidRDefault="00C529A8" w:rsidP="0091364B">
      <w:pPr>
        <w:tabs>
          <w:tab w:val="left" w:pos="840"/>
        </w:tabs>
        <w:spacing w:after="120" w:line="240" w:lineRule="auto"/>
        <w:rPr>
          <w:rFonts w:eastAsia="Arial" w:cstheme="minorHAnsi"/>
          <w:b/>
          <w:bCs/>
          <w:i/>
        </w:rPr>
      </w:pPr>
      <w:r w:rsidRPr="00D00051">
        <w:rPr>
          <w:rFonts w:eastAsia="Arial" w:cstheme="minorHAnsi"/>
          <w:position w:val="-4"/>
        </w:rPr>
        <w:t>8</w:t>
      </w:r>
      <w:r w:rsidRPr="00D00051">
        <w:rPr>
          <w:rFonts w:eastAsia="Arial" w:cstheme="minorHAnsi"/>
          <w:position w:val="-4"/>
        </w:rPr>
        <w:tab/>
      </w:r>
      <w:r w:rsidRPr="00D00051">
        <w:rPr>
          <w:rFonts w:eastAsia="Arial" w:cstheme="minorHAnsi"/>
          <w:b/>
          <w:bCs/>
          <w:i/>
        </w:rPr>
        <w:t>Other Information</w:t>
      </w:r>
    </w:p>
    <w:p w14:paraId="3118C2B3" w14:textId="77777777" w:rsidR="006F5524" w:rsidRDefault="006F5524" w:rsidP="006F5524">
      <w:pPr>
        <w:tabs>
          <w:tab w:val="left" w:pos="840"/>
        </w:tabs>
        <w:spacing w:after="120" w:line="240" w:lineRule="auto"/>
        <w:ind w:left="360"/>
        <w:jc w:val="both"/>
        <w:rPr>
          <w:rFonts w:eastAsia="Arial" w:cstheme="minorHAnsi"/>
          <w:iCs/>
          <w:lang w:val="en-GB"/>
        </w:rPr>
      </w:pPr>
      <w:r w:rsidRPr="00F73B7D">
        <w:rPr>
          <w:rFonts w:eastAsia="Arial" w:cstheme="minorHAnsi"/>
          <w:iCs/>
          <w:lang w:val="en-GB"/>
        </w:rPr>
        <w:t xml:space="preserve">It is expected that Applicants would identify the best practical approach corresponding to each activity and arrange access to the areas of intervention for </w:t>
      </w:r>
      <w:r>
        <w:rPr>
          <w:rFonts w:eastAsia="Arial" w:cstheme="minorHAnsi"/>
          <w:iCs/>
          <w:lang w:val="en-GB"/>
        </w:rPr>
        <w:t xml:space="preserve">the </w:t>
      </w:r>
      <w:r w:rsidRPr="00F73B7D">
        <w:rPr>
          <w:rFonts w:eastAsia="Arial" w:cstheme="minorHAnsi"/>
          <w:iCs/>
          <w:lang w:val="en-GB"/>
        </w:rPr>
        <w:t>implementation of Activities stated in this CEI.</w:t>
      </w:r>
    </w:p>
    <w:p w14:paraId="1DF22585" w14:textId="7CC2820F" w:rsidR="006F5524" w:rsidRDefault="006F5524" w:rsidP="006F5524">
      <w:pPr>
        <w:tabs>
          <w:tab w:val="left" w:pos="840"/>
        </w:tabs>
        <w:spacing w:after="120" w:line="240" w:lineRule="auto"/>
        <w:ind w:left="360"/>
        <w:jc w:val="both"/>
        <w:rPr>
          <w:rFonts w:eastAsia="Arial" w:cstheme="minorHAnsi"/>
          <w:iCs/>
          <w:lang w:val="en-GB"/>
        </w:rPr>
      </w:pPr>
      <w:r w:rsidRPr="00F73B7D">
        <w:rPr>
          <w:rFonts w:eastAsia="Arial" w:cstheme="minorHAnsi"/>
          <w:iCs/>
          <w:lang w:val="en-GB"/>
        </w:rPr>
        <w:t xml:space="preserve">The selected IP(-s) shall perform the Activities according to the Terms of Reference (Annex </w:t>
      </w:r>
      <w:r w:rsidR="00E431FD">
        <w:rPr>
          <w:rFonts w:eastAsia="Arial" w:cstheme="minorHAnsi"/>
          <w:iCs/>
          <w:lang w:val="en-GB"/>
        </w:rPr>
        <w:t>A</w:t>
      </w:r>
      <w:r w:rsidRPr="00F73B7D">
        <w:rPr>
          <w:rFonts w:eastAsia="Arial" w:cstheme="minorHAnsi"/>
          <w:iCs/>
          <w:lang w:val="en-GB"/>
        </w:rPr>
        <w:t>). The engagement between IOM and the IP shall be further covered with a Project Implementation Agreement</w:t>
      </w:r>
      <w:r>
        <w:rPr>
          <w:rFonts w:eastAsia="Arial" w:cstheme="minorHAnsi"/>
          <w:lang w:val="en-GB"/>
        </w:rPr>
        <w:t xml:space="preserve"> </w:t>
      </w:r>
      <w:r>
        <w:rPr>
          <w:rFonts w:eastAsia="Arial" w:cstheme="minorHAnsi"/>
          <w:iCs/>
          <w:lang w:val="en-GB"/>
        </w:rPr>
        <w:t>(PIA)</w:t>
      </w:r>
      <w:r w:rsidRPr="00F73B7D">
        <w:rPr>
          <w:rFonts w:eastAsia="Arial" w:cstheme="minorHAnsi"/>
          <w:iCs/>
          <w:lang w:val="en-GB"/>
        </w:rPr>
        <w:t xml:space="preserve"> after </w:t>
      </w:r>
      <w:r>
        <w:rPr>
          <w:rFonts w:eastAsia="Arial" w:cstheme="minorHAnsi"/>
          <w:iCs/>
          <w:lang w:val="en-GB"/>
        </w:rPr>
        <w:t xml:space="preserve">a </w:t>
      </w:r>
      <w:r w:rsidRPr="00F73B7D">
        <w:rPr>
          <w:rFonts w:eastAsia="Arial" w:cstheme="minorHAnsi"/>
          <w:iCs/>
          <w:lang w:val="en-GB"/>
        </w:rPr>
        <w:t xml:space="preserve">final confirmation </w:t>
      </w:r>
      <w:r>
        <w:rPr>
          <w:rFonts w:eastAsia="Arial" w:cstheme="minorHAnsi"/>
          <w:iCs/>
          <w:lang w:val="en-GB"/>
        </w:rPr>
        <w:t xml:space="preserve">by IOM </w:t>
      </w:r>
      <w:r w:rsidRPr="00F73B7D">
        <w:rPr>
          <w:rFonts w:eastAsia="Arial" w:cstheme="minorHAnsi"/>
          <w:iCs/>
          <w:lang w:val="en-GB"/>
        </w:rPr>
        <w:t xml:space="preserve">of </w:t>
      </w:r>
      <w:r>
        <w:rPr>
          <w:rFonts w:eastAsia="Arial" w:cstheme="minorHAnsi"/>
          <w:iCs/>
          <w:lang w:val="en-GB"/>
        </w:rPr>
        <w:t xml:space="preserve">the </w:t>
      </w:r>
      <w:r w:rsidRPr="00F73B7D">
        <w:rPr>
          <w:rFonts w:eastAsia="Arial" w:cstheme="minorHAnsi"/>
          <w:iCs/>
          <w:lang w:val="en-GB"/>
        </w:rPr>
        <w:t>project implementatio</w:t>
      </w:r>
      <w:r>
        <w:rPr>
          <w:rFonts w:eastAsia="Arial" w:cstheme="minorHAnsi"/>
          <w:iCs/>
          <w:lang w:val="en-GB"/>
        </w:rPr>
        <w:t>n.</w:t>
      </w:r>
    </w:p>
    <w:p w14:paraId="6D9626A5" w14:textId="77777777" w:rsidR="006F5524" w:rsidRDefault="006F5524" w:rsidP="006F5524">
      <w:pPr>
        <w:tabs>
          <w:tab w:val="left" w:pos="840"/>
        </w:tabs>
        <w:spacing w:after="120" w:line="240" w:lineRule="auto"/>
        <w:ind w:left="360"/>
        <w:jc w:val="both"/>
        <w:rPr>
          <w:rFonts w:eastAsia="Arial" w:cstheme="minorHAnsi"/>
          <w:iCs/>
          <w:lang w:val="en-GB"/>
        </w:rPr>
      </w:pPr>
      <w:r w:rsidRPr="00F73B7D">
        <w:rPr>
          <w:rFonts w:eastAsia="Arial" w:cstheme="minorHAnsi"/>
          <w:iCs/>
          <w:lang w:val="en-GB"/>
        </w:rPr>
        <w:t xml:space="preserve">All IP(-s) will receive written notifications of the outcome of the selection process within </w:t>
      </w:r>
      <w:r>
        <w:rPr>
          <w:rFonts w:eastAsia="Arial" w:cstheme="minorHAnsi"/>
          <w:iCs/>
          <w:lang w:val="en-GB"/>
        </w:rPr>
        <w:t>three</w:t>
      </w:r>
      <w:r w:rsidRPr="00F73B7D">
        <w:rPr>
          <w:rFonts w:eastAsia="Arial" w:cstheme="minorHAnsi"/>
          <w:iCs/>
          <w:lang w:val="en-GB"/>
        </w:rPr>
        <w:t xml:space="preserve"> weeks after the deadline for the submission of CEI application documents. Should an Applicant request further clarification, IOM will provide a response explaining the transparency and integrity of the selection process undertaken.</w:t>
      </w:r>
    </w:p>
    <w:p w14:paraId="34558526" w14:textId="77777777" w:rsidR="006F5524" w:rsidRDefault="006F5524" w:rsidP="006F5524">
      <w:pPr>
        <w:tabs>
          <w:tab w:val="left" w:pos="840"/>
        </w:tabs>
        <w:spacing w:after="120" w:line="240" w:lineRule="auto"/>
        <w:ind w:left="360"/>
        <w:jc w:val="both"/>
        <w:rPr>
          <w:rFonts w:eastAsia="Arial" w:cstheme="minorHAnsi"/>
          <w:iCs/>
          <w:lang w:val="en-GB"/>
        </w:rPr>
      </w:pPr>
      <w:r w:rsidRPr="00F73B7D">
        <w:rPr>
          <w:rFonts w:eastAsia="Arial" w:cstheme="minorHAnsi"/>
          <w:iCs/>
          <w:lang w:val="en-GB"/>
        </w:rPr>
        <w:t>IOM reserves the right to decline disclosure of the specificity of decision derived by the IOM mission due to reasons related to confidentiality.</w:t>
      </w:r>
    </w:p>
    <w:p w14:paraId="4FE1CA5C" w14:textId="77777777" w:rsidR="006F5524" w:rsidRDefault="006F5524" w:rsidP="006F5524">
      <w:pPr>
        <w:tabs>
          <w:tab w:val="left" w:pos="840"/>
        </w:tabs>
        <w:spacing w:after="120" w:line="240" w:lineRule="auto"/>
        <w:ind w:left="360"/>
        <w:jc w:val="both"/>
        <w:rPr>
          <w:rFonts w:eastAsia="Arial"/>
          <w:lang w:val="en-GB"/>
        </w:rPr>
      </w:pPr>
      <w:r w:rsidRPr="00F73B7D">
        <w:rPr>
          <w:rFonts w:eastAsia="Arial"/>
          <w:lang w:val="en-GB"/>
        </w:rPr>
        <w:t>IOM reserves the right to accept or reject any Application, annul the selection process, and reject all Calls for expression of interest at any time, without thereby incurring any liability to the affected by Implementing Partners.</w:t>
      </w:r>
    </w:p>
    <w:p w14:paraId="241D172C" w14:textId="77777777" w:rsidR="006F5524" w:rsidRPr="00F73B7D" w:rsidRDefault="006F5524" w:rsidP="006F5524">
      <w:pPr>
        <w:tabs>
          <w:tab w:val="left" w:pos="840"/>
        </w:tabs>
        <w:spacing w:after="120" w:line="240" w:lineRule="auto"/>
        <w:ind w:left="360"/>
        <w:jc w:val="both"/>
        <w:rPr>
          <w:rFonts w:eastAsia="Arial"/>
          <w:lang w:val="en-GB"/>
        </w:rPr>
      </w:pPr>
      <w:r w:rsidRPr="00F73B7D">
        <w:rPr>
          <w:rFonts w:eastAsia="Arial"/>
          <w:lang w:val="en-GB"/>
        </w:rPr>
        <w:lastRenderedPageBreak/>
        <w:t>In case the Applicant has an existing agreement with IOM, it should not be asked to sign an agreement that would conflict with their prior or current obligations to other IOM projects or that may place them in a position of not being able to carry out the responsibilities in the best interest of the IOM.</w:t>
      </w:r>
    </w:p>
    <w:p w14:paraId="5F174515" w14:textId="77777777" w:rsidR="00146B6E" w:rsidRPr="00675063" w:rsidRDefault="00146B6E" w:rsidP="0091364B">
      <w:pPr>
        <w:tabs>
          <w:tab w:val="left" w:pos="840"/>
        </w:tabs>
        <w:spacing w:after="120" w:line="240" w:lineRule="auto"/>
        <w:rPr>
          <w:rFonts w:eastAsia="Arial" w:cstheme="minorHAnsi"/>
          <w:sz w:val="20"/>
          <w:szCs w:val="20"/>
        </w:rPr>
      </w:pPr>
    </w:p>
    <w:p w14:paraId="230C4D35" w14:textId="2A881CD6" w:rsidR="0024366C" w:rsidRDefault="00C529A8" w:rsidP="0091364B">
      <w:pPr>
        <w:tabs>
          <w:tab w:val="left" w:pos="840"/>
        </w:tabs>
        <w:spacing w:after="120" w:line="240" w:lineRule="auto"/>
        <w:rPr>
          <w:rFonts w:eastAsia="Arial" w:cstheme="minorHAnsi"/>
          <w:b/>
          <w:bCs/>
          <w:i/>
          <w:position w:val="3"/>
        </w:rPr>
      </w:pPr>
      <w:r w:rsidRPr="00B50929">
        <w:rPr>
          <w:rFonts w:eastAsia="Arial" w:cstheme="minorHAnsi"/>
          <w:position w:val="-1"/>
        </w:rPr>
        <w:t>9</w:t>
      </w:r>
      <w:r w:rsidRPr="00B50929">
        <w:rPr>
          <w:rFonts w:eastAsia="Arial" w:cstheme="minorHAnsi"/>
          <w:position w:val="-1"/>
        </w:rPr>
        <w:tab/>
      </w:r>
      <w:r w:rsidRPr="00B50929">
        <w:rPr>
          <w:rFonts w:eastAsia="Arial" w:cstheme="minorHAnsi"/>
          <w:b/>
          <w:bCs/>
          <w:i/>
          <w:position w:val="3"/>
        </w:rPr>
        <w:t>Selection Criteria</w:t>
      </w:r>
      <w:r w:rsidR="00BD6922" w:rsidRPr="00B50929">
        <w:rPr>
          <w:rFonts w:eastAsia="Arial" w:cstheme="minorHAnsi"/>
          <w:b/>
          <w:bCs/>
          <w:i/>
          <w:position w:val="3"/>
        </w:rPr>
        <w:t xml:space="preserve"> </w:t>
      </w:r>
    </w:p>
    <w:p w14:paraId="5F5974C8" w14:textId="77777777" w:rsidR="006F5524" w:rsidRDefault="006F5524" w:rsidP="006F5524">
      <w:pPr>
        <w:spacing w:after="120" w:line="240" w:lineRule="auto"/>
        <w:ind w:left="360"/>
        <w:jc w:val="both"/>
        <w:rPr>
          <w:rFonts w:eastAsiaTheme="minorEastAsia"/>
          <w:color w:val="000000" w:themeColor="text1"/>
        </w:rPr>
      </w:pPr>
      <w:r w:rsidRPr="00F73B7D">
        <w:rPr>
          <w:rFonts w:eastAsiaTheme="minorEastAsia"/>
          <w:color w:val="000000" w:themeColor="text1"/>
        </w:rPr>
        <w:t>IOM Moldova shall determine the Application(s) that is/are most favorable to its operation.</w:t>
      </w:r>
      <w:r>
        <w:rPr>
          <w:rFonts w:eastAsiaTheme="minorEastAsia"/>
          <w:color w:val="000000" w:themeColor="text1"/>
        </w:rPr>
        <w:t xml:space="preserve"> </w:t>
      </w:r>
    </w:p>
    <w:p w14:paraId="05E20064" w14:textId="77777777" w:rsidR="006F5524" w:rsidRDefault="006F5524" w:rsidP="006F5524">
      <w:pPr>
        <w:spacing w:after="120" w:line="240" w:lineRule="auto"/>
        <w:ind w:left="360"/>
        <w:jc w:val="both"/>
        <w:rPr>
          <w:rFonts w:eastAsiaTheme="minorEastAsia"/>
          <w:color w:val="000000" w:themeColor="text1"/>
        </w:rPr>
      </w:pPr>
      <w:r w:rsidRPr="00F73B7D">
        <w:rPr>
          <w:rFonts w:eastAsiaTheme="minorEastAsia"/>
          <w:color w:val="000000" w:themeColor="text1"/>
        </w:rPr>
        <w:t>Applications that were submitted not according to the technical requirements and provisions required in this CEI, shall not be considered for evaluation.</w:t>
      </w:r>
    </w:p>
    <w:p w14:paraId="4A35A6BD" w14:textId="77777777" w:rsidR="006F5524" w:rsidRDefault="006F5524" w:rsidP="006F5524">
      <w:pPr>
        <w:spacing w:after="120" w:line="240" w:lineRule="auto"/>
        <w:ind w:left="360"/>
        <w:jc w:val="both"/>
        <w:rPr>
          <w:rFonts w:eastAsiaTheme="minorEastAsia"/>
          <w:color w:val="000000" w:themeColor="text1"/>
        </w:rPr>
      </w:pPr>
      <w:r w:rsidRPr="00F73B7D">
        <w:rPr>
          <w:rFonts w:eastAsiaTheme="minorEastAsia"/>
          <w:color w:val="000000" w:themeColor="text1"/>
        </w:rPr>
        <w:t>The Application shall be evaluated based on their responsiveness to the Terms of References</w:t>
      </w:r>
      <w:r>
        <w:rPr>
          <w:rFonts w:eastAsiaTheme="minorEastAsia"/>
          <w:color w:val="000000" w:themeColor="text1"/>
        </w:rPr>
        <w:t xml:space="preserve"> (Annex A)</w:t>
      </w:r>
      <w:r w:rsidRPr="00F73B7D">
        <w:rPr>
          <w:rFonts w:eastAsiaTheme="minorEastAsia"/>
          <w:color w:val="000000" w:themeColor="text1"/>
        </w:rPr>
        <w:t xml:space="preserve">, based on the criteria and their weight below: </w:t>
      </w:r>
    </w:p>
    <w:tbl>
      <w:tblPr>
        <w:tblW w:w="10350" w:type="dxa"/>
        <w:tblInd w:w="267" w:type="dxa"/>
        <w:tblLayout w:type="fixed"/>
        <w:tblCellMar>
          <w:left w:w="0" w:type="dxa"/>
          <w:right w:w="0" w:type="dxa"/>
        </w:tblCellMar>
        <w:tblLook w:val="01E0" w:firstRow="1" w:lastRow="1" w:firstColumn="1" w:lastColumn="1" w:noHBand="0" w:noVBand="0"/>
      </w:tblPr>
      <w:tblGrid>
        <w:gridCol w:w="1800"/>
        <w:gridCol w:w="7920"/>
        <w:gridCol w:w="630"/>
      </w:tblGrid>
      <w:tr w:rsidR="0024366C" w:rsidRPr="00D51E75" w14:paraId="23AF61D1" w14:textId="77777777" w:rsidTr="008106E8">
        <w:trPr>
          <w:trHeight w:hRule="exact" w:val="354"/>
        </w:trPr>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0F119A24" w14:textId="77777777" w:rsidR="0024366C" w:rsidRPr="00D51E75" w:rsidRDefault="00C529A8" w:rsidP="0091364B">
            <w:pPr>
              <w:spacing w:after="120" w:line="240" w:lineRule="auto"/>
              <w:rPr>
                <w:rFonts w:eastAsia="Arial" w:cstheme="minorHAnsi"/>
                <w:b/>
                <w:bCs/>
              </w:rPr>
            </w:pPr>
            <w:r w:rsidRPr="00D51E75">
              <w:rPr>
                <w:rFonts w:eastAsia="Arial" w:cstheme="minorHAnsi"/>
                <w:b/>
                <w:bCs/>
                <w:color w:val="FFFFFF"/>
              </w:rPr>
              <w:t>Name</w:t>
            </w:r>
          </w:p>
        </w:tc>
        <w:tc>
          <w:tcPr>
            <w:tcW w:w="79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153223C" w14:textId="77777777" w:rsidR="0024366C" w:rsidRPr="00D51E75" w:rsidRDefault="00C529A8" w:rsidP="0091364B">
            <w:pPr>
              <w:spacing w:after="120" w:line="240" w:lineRule="auto"/>
              <w:rPr>
                <w:rFonts w:eastAsia="Arial" w:cstheme="minorHAnsi"/>
                <w:b/>
                <w:bCs/>
              </w:rPr>
            </w:pPr>
            <w:r w:rsidRPr="00D51E75">
              <w:rPr>
                <w:rFonts w:eastAsia="Arial" w:cstheme="minorHAnsi"/>
                <w:b/>
                <w:bCs/>
                <w:color w:val="FFFFFF"/>
              </w:rPr>
              <w:t>Description</w:t>
            </w:r>
          </w:p>
        </w:tc>
        <w:tc>
          <w:tcPr>
            <w:tcW w:w="6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D551264" w14:textId="77777777" w:rsidR="0024366C" w:rsidRPr="00D51E75" w:rsidRDefault="00C529A8" w:rsidP="0091364B">
            <w:pPr>
              <w:spacing w:after="120" w:line="240" w:lineRule="auto"/>
              <w:rPr>
                <w:rFonts w:eastAsia="Arial" w:cstheme="minorHAnsi"/>
                <w:b/>
                <w:bCs/>
              </w:rPr>
            </w:pPr>
            <w:r w:rsidRPr="00D51E75">
              <w:rPr>
                <w:rFonts w:eastAsia="Arial" w:cstheme="minorHAnsi"/>
                <w:b/>
                <w:bCs/>
                <w:color w:val="FFFFFF"/>
              </w:rPr>
              <w:t>Weight</w:t>
            </w:r>
          </w:p>
        </w:tc>
      </w:tr>
      <w:tr w:rsidR="00780E9E" w:rsidRPr="00675063" w14:paraId="451568AD" w14:textId="77777777" w:rsidTr="008106E8">
        <w:trPr>
          <w:trHeight w:hRule="exact" w:val="2597"/>
        </w:trPr>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DC23E0" w14:textId="7CFB23E5" w:rsidR="00780E9E" w:rsidRPr="006F5524" w:rsidRDefault="006F5524" w:rsidP="7DD363F7">
            <w:pPr>
              <w:spacing w:after="120" w:line="240" w:lineRule="auto"/>
              <w:rPr>
                <w:rFonts w:eastAsia="Arial"/>
              </w:rPr>
            </w:pPr>
            <w:r w:rsidRPr="006F5524">
              <w:rPr>
                <w:rFonts w:eastAsia="Arial"/>
              </w:rPr>
              <w:t>Correspondence of the proposed methods and types of activities to the IOM project, CEI aims and objectives </w:t>
            </w:r>
          </w:p>
        </w:tc>
        <w:tc>
          <w:tcPr>
            <w:tcW w:w="79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BB8D8F" w14:textId="77777777" w:rsidR="006F5524" w:rsidRPr="0027114B" w:rsidRDefault="006F5524" w:rsidP="006F5524">
            <w:pPr>
              <w:pStyle w:val="ListParagraph"/>
              <w:numPr>
                <w:ilvl w:val="0"/>
                <w:numId w:val="43"/>
              </w:numPr>
              <w:spacing w:after="0" w:line="240" w:lineRule="auto"/>
              <w:jc w:val="both"/>
              <w:rPr>
                <w:rStyle w:val="eop"/>
                <w:rFonts w:eastAsiaTheme="minorEastAsia"/>
              </w:rPr>
            </w:pPr>
            <w:r w:rsidRPr="0027114B">
              <w:rPr>
                <w:rStyle w:val="normaltextrun"/>
                <w:rFonts w:eastAsiaTheme="minorEastAsia"/>
              </w:rPr>
              <w:t xml:space="preserve">Relevant technical expertise and experience in working with a different range of governmental and non-governmental stakeholders of the Republic of Moldova at all </w:t>
            </w:r>
            <w:proofErr w:type="gramStart"/>
            <w:r w:rsidRPr="0027114B">
              <w:rPr>
                <w:rStyle w:val="normaltextrun"/>
                <w:rFonts w:eastAsiaTheme="minorEastAsia"/>
              </w:rPr>
              <w:t>levels;</w:t>
            </w:r>
            <w:proofErr w:type="gramEnd"/>
          </w:p>
          <w:p w14:paraId="003297F2" w14:textId="77777777" w:rsidR="006F5524" w:rsidRPr="0027114B" w:rsidRDefault="006F5524" w:rsidP="006F5524">
            <w:pPr>
              <w:pStyle w:val="ListParagraph"/>
              <w:numPr>
                <w:ilvl w:val="0"/>
                <w:numId w:val="43"/>
              </w:numPr>
              <w:spacing w:after="120" w:line="240" w:lineRule="auto"/>
              <w:jc w:val="both"/>
              <w:rPr>
                <w:rFonts w:eastAsia="Arial"/>
                <w:lang w:val="en-GB"/>
              </w:rPr>
            </w:pPr>
            <w:r w:rsidRPr="0027114B">
              <w:rPr>
                <w:rFonts w:eastAsia="Arial"/>
              </w:rPr>
              <w:t>Relevance of the proposed methodology to achieving expected results and</w:t>
            </w:r>
            <w:r w:rsidRPr="0027114B" w:rsidDel="001179DA">
              <w:rPr>
                <w:rFonts w:eastAsia="Arial"/>
              </w:rPr>
              <w:t xml:space="preserve"> </w:t>
            </w:r>
            <w:r w:rsidRPr="0027114B">
              <w:rPr>
                <w:rFonts w:eastAsia="Arial"/>
              </w:rPr>
              <w:t>objectives under the CEI</w:t>
            </w:r>
          </w:p>
          <w:p w14:paraId="2FFBCF18" w14:textId="77777777" w:rsidR="006F5524" w:rsidRPr="0027114B" w:rsidRDefault="006F5524" w:rsidP="006F5524">
            <w:pPr>
              <w:pStyle w:val="ListParagraph"/>
              <w:numPr>
                <w:ilvl w:val="0"/>
                <w:numId w:val="43"/>
              </w:numPr>
              <w:spacing w:after="120" w:line="240" w:lineRule="auto"/>
              <w:jc w:val="both"/>
              <w:rPr>
                <w:rFonts w:eastAsia="Arial"/>
                <w:lang w:val="en-GB"/>
              </w:rPr>
            </w:pPr>
            <w:r w:rsidRPr="0027114B">
              <w:rPr>
                <w:rFonts w:eastAsia="Arial"/>
                <w:lang w:val="en-GB"/>
              </w:rPr>
              <w:t xml:space="preserve">A minimum of </w:t>
            </w:r>
            <w:r>
              <w:rPr>
                <w:rFonts w:eastAsia="Arial"/>
                <w:lang w:val="en-GB"/>
              </w:rPr>
              <w:t>5</w:t>
            </w:r>
            <w:r w:rsidRPr="0027114B">
              <w:rPr>
                <w:rFonts w:eastAsia="Arial"/>
                <w:lang w:val="en-GB"/>
              </w:rPr>
              <w:t xml:space="preserve"> years of experience in organizing awareness raising activities </w:t>
            </w:r>
          </w:p>
          <w:p w14:paraId="6A449DB1" w14:textId="77777777" w:rsidR="006F5524" w:rsidRPr="0027114B" w:rsidRDefault="006F5524" w:rsidP="006F5524">
            <w:pPr>
              <w:pStyle w:val="ListParagraph"/>
              <w:numPr>
                <w:ilvl w:val="0"/>
                <w:numId w:val="43"/>
              </w:numPr>
              <w:spacing w:after="120" w:line="240" w:lineRule="auto"/>
              <w:jc w:val="both"/>
              <w:rPr>
                <w:rFonts w:eastAsia="Arial"/>
                <w:lang w:val="en-GB"/>
              </w:rPr>
            </w:pPr>
            <w:r w:rsidRPr="0027114B">
              <w:rPr>
                <w:rFonts w:eastAsia="Arial"/>
                <w:lang w:val="en-GB"/>
              </w:rPr>
              <w:t xml:space="preserve">Knowledge </w:t>
            </w:r>
            <w:r>
              <w:rPr>
                <w:rFonts w:eastAsia="Arial"/>
                <w:lang w:val="en-GB"/>
              </w:rPr>
              <w:t xml:space="preserve">of </w:t>
            </w:r>
            <w:r w:rsidRPr="0027114B">
              <w:rPr>
                <w:rFonts w:eastAsia="Arial"/>
                <w:lang w:val="en-GB"/>
              </w:rPr>
              <w:t>migration context of the Republic of Moldova</w:t>
            </w:r>
          </w:p>
          <w:p w14:paraId="65626C96" w14:textId="0AA53DEC" w:rsidR="006F5524" w:rsidRPr="0027114B" w:rsidRDefault="006F5524" w:rsidP="006F5524">
            <w:pPr>
              <w:pStyle w:val="ListParagraph"/>
              <w:numPr>
                <w:ilvl w:val="0"/>
                <w:numId w:val="43"/>
              </w:numPr>
              <w:spacing w:after="120" w:line="240" w:lineRule="auto"/>
              <w:jc w:val="both"/>
              <w:rPr>
                <w:lang w:val="en-GB"/>
              </w:rPr>
            </w:pPr>
            <w:r w:rsidRPr="0027114B">
              <w:rPr>
                <w:rFonts w:eastAsia="Arial"/>
                <w:lang w:val="en-GB"/>
              </w:rPr>
              <w:t xml:space="preserve">Sustainability of the proposed intervention and potential for the scalability of its results </w:t>
            </w:r>
          </w:p>
          <w:p w14:paraId="377D57F4" w14:textId="228B3D4E" w:rsidR="00780E9E" w:rsidRPr="006F5524" w:rsidRDefault="00780E9E" w:rsidP="7DD363F7">
            <w:pPr>
              <w:spacing w:after="120" w:line="240" w:lineRule="auto"/>
              <w:rPr>
                <w:rFonts w:eastAsia="Arial"/>
                <w:sz w:val="20"/>
                <w:szCs w:val="20"/>
                <w:lang w:val="en-GB"/>
              </w:rPr>
            </w:pPr>
          </w:p>
        </w:tc>
        <w:tc>
          <w:tcPr>
            <w:tcW w:w="6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BCE4DC" w14:textId="40CA059C" w:rsidR="00780E9E" w:rsidRDefault="006F5524" w:rsidP="00780E9E">
            <w:pPr>
              <w:spacing w:after="120" w:line="240" w:lineRule="auto"/>
              <w:rPr>
                <w:rFonts w:eastAsia="Arial" w:cstheme="minorHAnsi"/>
                <w:sz w:val="20"/>
                <w:szCs w:val="20"/>
              </w:rPr>
            </w:pPr>
            <w:r>
              <w:rPr>
                <w:rFonts w:eastAsia="Arial" w:cstheme="minorHAnsi"/>
                <w:sz w:val="20"/>
                <w:szCs w:val="20"/>
              </w:rPr>
              <w:t>25</w:t>
            </w:r>
          </w:p>
          <w:p w14:paraId="00F6662F" w14:textId="77777777" w:rsidR="00631C80" w:rsidRDefault="00631C80" w:rsidP="00780E9E">
            <w:pPr>
              <w:spacing w:after="120" w:line="240" w:lineRule="auto"/>
              <w:rPr>
                <w:rFonts w:eastAsia="Arial" w:cstheme="minorHAnsi"/>
                <w:sz w:val="20"/>
                <w:szCs w:val="20"/>
              </w:rPr>
            </w:pPr>
          </w:p>
          <w:p w14:paraId="214C512B" w14:textId="77777777" w:rsidR="00631C80" w:rsidRDefault="00631C80" w:rsidP="00780E9E">
            <w:pPr>
              <w:spacing w:after="120" w:line="240" w:lineRule="auto"/>
              <w:rPr>
                <w:rFonts w:eastAsia="Arial" w:cstheme="minorHAnsi"/>
                <w:sz w:val="20"/>
                <w:szCs w:val="20"/>
              </w:rPr>
            </w:pPr>
          </w:p>
          <w:p w14:paraId="389298C5" w14:textId="77777777" w:rsidR="00631C80" w:rsidRDefault="00631C80" w:rsidP="00780E9E">
            <w:pPr>
              <w:spacing w:after="120" w:line="240" w:lineRule="auto"/>
              <w:rPr>
                <w:rFonts w:eastAsia="Arial" w:cstheme="minorHAnsi"/>
                <w:sz w:val="20"/>
                <w:szCs w:val="20"/>
              </w:rPr>
            </w:pPr>
          </w:p>
          <w:p w14:paraId="50BFB46B" w14:textId="77777777" w:rsidR="00631C80" w:rsidRDefault="00631C80" w:rsidP="00780E9E">
            <w:pPr>
              <w:spacing w:after="120" w:line="240" w:lineRule="auto"/>
              <w:rPr>
                <w:rFonts w:eastAsia="Arial" w:cstheme="minorHAnsi"/>
                <w:sz w:val="20"/>
                <w:szCs w:val="20"/>
              </w:rPr>
            </w:pPr>
          </w:p>
          <w:p w14:paraId="7BD6608A" w14:textId="77777777" w:rsidR="00631C80" w:rsidRDefault="00631C80" w:rsidP="00780E9E">
            <w:pPr>
              <w:spacing w:after="120" w:line="240" w:lineRule="auto"/>
              <w:rPr>
                <w:rFonts w:eastAsia="Arial" w:cstheme="minorHAnsi"/>
                <w:sz w:val="20"/>
                <w:szCs w:val="20"/>
              </w:rPr>
            </w:pPr>
          </w:p>
          <w:p w14:paraId="16A607A1" w14:textId="77777777" w:rsidR="00631C80" w:rsidRDefault="00631C80" w:rsidP="00780E9E">
            <w:pPr>
              <w:spacing w:after="120" w:line="240" w:lineRule="auto"/>
              <w:rPr>
                <w:rFonts w:eastAsia="Arial" w:cstheme="minorHAnsi"/>
                <w:sz w:val="20"/>
                <w:szCs w:val="20"/>
              </w:rPr>
            </w:pPr>
          </w:p>
          <w:p w14:paraId="0F18CA4B" w14:textId="6A429048" w:rsidR="00631C80" w:rsidRPr="00631C80" w:rsidRDefault="00631C80" w:rsidP="00780E9E">
            <w:pPr>
              <w:spacing w:after="120" w:line="240" w:lineRule="auto"/>
              <w:rPr>
                <w:rFonts w:eastAsia="Arial" w:cstheme="minorHAnsi"/>
                <w:sz w:val="20"/>
                <w:szCs w:val="20"/>
              </w:rPr>
            </w:pPr>
          </w:p>
        </w:tc>
      </w:tr>
      <w:tr w:rsidR="00780E9E" w:rsidRPr="00675063" w14:paraId="2DFA0AAF" w14:textId="77777777" w:rsidTr="008106E8">
        <w:trPr>
          <w:trHeight w:hRule="exact" w:val="1976"/>
        </w:trPr>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1A2112" w14:textId="77777777" w:rsidR="00780E9E" w:rsidRDefault="006F5524" w:rsidP="00780E9E">
            <w:pPr>
              <w:spacing w:after="120" w:line="240" w:lineRule="auto"/>
              <w:rPr>
                <w:rFonts w:eastAsia="Arial" w:cstheme="minorHAnsi"/>
              </w:rPr>
            </w:pPr>
            <w:r w:rsidRPr="006F5524">
              <w:rPr>
                <w:rFonts w:eastAsia="Arial" w:cstheme="minorHAnsi"/>
              </w:rPr>
              <w:t>Level of qualifications and competence of the professional staff involved in the project </w:t>
            </w:r>
          </w:p>
          <w:p w14:paraId="3CBBC5D9" w14:textId="1B686724" w:rsidR="00E431FD" w:rsidRPr="006F5524" w:rsidRDefault="00E431FD" w:rsidP="00780E9E">
            <w:pPr>
              <w:spacing w:after="120" w:line="240" w:lineRule="auto"/>
              <w:rPr>
                <w:rFonts w:eastAsia="Arial" w:cstheme="minorHAnsi"/>
              </w:rPr>
            </w:pPr>
          </w:p>
        </w:tc>
        <w:tc>
          <w:tcPr>
            <w:tcW w:w="79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A1F9DD" w14:textId="680D51FA" w:rsidR="00780E9E" w:rsidRPr="00AB4424" w:rsidRDefault="006F5524" w:rsidP="00D51E75">
            <w:pPr>
              <w:pStyle w:val="ListParagraph"/>
              <w:numPr>
                <w:ilvl w:val="0"/>
                <w:numId w:val="32"/>
              </w:numPr>
              <w:spacing w:after="120" w:line="240" w:lineRule="auto"/>
              <w:ind w:left="354" w:hanging="270"/>
              <w:rPr>
                <w:rFonts w:eastAsia="Arial" w:cstheme="minorHAnsi"/>
                <w:sz w:val="20"/>
                <w:szCs w:val="20"/>
              </w:rPr>
            </w:pPr>
            <w:r w:rsidRPr="11F34633">
              <w:rPr>
                <w:rFonts w:eastAsia="Arial"/>
              </w:rPr>
              <w:t xml:space="preserve">Analysis of </w:t>
            </w:r>
            <w:r w:rsidRPr="6F0D0A5F">
              <w:rPr>
                <w:rFonts w:eastAsia="Arial"/>
              </w:rPr>
              <w:t>the provided</w:t>
            </w:r>
            <w:r w:rsidRPr="11F34633">
              <w:rPr>
                <w:rFonts w:eastAsia="Arial"/>
              </w:rPr>
              <w:t xml:space="preserve"> CVs of </w:t>
            </w:r>
            <w:r w:rsidRPr="51573A64">
              <w:rPr>
                <w:rFonts w:eastAsia="Arial"/>
              </w:rPr>
              <w:t xml:space="preserve">the </w:t>
            </w:r>
            <w:r w:rsidRPr="1FB3059C">
              <w:rPr>
                <w:rFonts w:eastAsia="Arial"/>
              </w:rPr>
              <w:t xml:space="preserve">staff of the </w:t>
            </w:r>
            <w:r w:rsidRPr="687AFB82">
              <w:rPr>
                <w:rFonts w:eastAsia="Arial"/>
              </w:rPr>
              <w:t xml:space="preserve">Applicant </w:t>
            </w:r>
            <w:r w:rsidRPr="349B197A">
              <w:rPr>
                <w:rFonts w:eastAsia="Arial"/>
              </w:rPr>
              <w:t xml:space="preserve">organization </w:t>
            </w:r>
            <w:r w:rsidRPr="2DD1DC43">
              <w:rPr>
                <w:rFonts w:eastAsia="Arial"/>
              </w:rPr>
              <w:t xml:space="preserve">against </w:t>
            </w:r>
            <w:r w:rsidRPr="06D50B59">
              <w:rPr>
                <w:rFonts w:eastAsia="Arial"/>
              </w:rPr>
              <w:t xml:space="preserve">the </w:t>
            </w:r>
            <w:r w:rsidRPr="6D53DC3C">
              <w:rPr>
                <w:rFonts w:eastAsia="Arial"/>
              </w:rPr>
              <w:t>proposed</w:t>
            </w:r>
            <w:r w:rsidRPr="46034062">
              <w:rPr>
                <w:rFonts w:eastAsia="Arial"/>
              </w:rPr>
              <w:t xml:space="preserve"> Activities</w:t>
            </w:r>
          </w:p>
        </w:tc>
        <w:tc>
          <w:tcPr>
            <w:tcW w:w="6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E9AF61" w14:textId="1773AF6B" w:rsidR="00780E9E" w:rsidRPr="00631C80" w:rsidRDefault="006F5524" w:rsidP="00780E9E">
            <w:pPr>
              <w:spacing w:after="120" w:line="240" w:lineRule="auto"/>
              <w:rPr>
                <w:rFonts w:eastAsia="Arial" w:cstheme="minorHAnsi"/>
                <w:sz w:val="20"/>
                <w:szCs w:val="20"/>
              </w:rPr>
            </w:pPr>
            <w:r>
              <w:rPr>
                <w:rFonts w:eastAsia="Arial" w:cstheme="minorHAnsi"/>
                <w:sz w:val="20"/>
                <w:szCs w:val="20"/>
              </w:rPr>
              <w:t>1</w:t>
            </w:r>
            <w:r w:rsidR="00780E9E" w:rsidRPr="00631C80">
              <w:rPr>
                <w:rFonts w:eastAsia="Arial" w:cstheme="minorHAnsi"/>
                <w:sz w:val="20"/>
                <w:szCs w:val="20"/>
              </w:rPr>
              <w:t>0</w:t>
            </w:r>
          </w:p>
        </w:tc>
      </w:tr>
      <w:tr w:rsidR="00780E9E" w:rsidRPr="00675063" w14:paraId="6B3F18C6" w14:textId="77777777" w:rsidTr="008106E8">
        <w:trPr>
          <w:trHeight w:hRule="exact" w:val="1886"/>
        </w:trPr>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C4D1C0" w14:textId="541AAE35" w:rsidR="00780E9E" w:rsidRPr="00631C80" w:rsidRDefault="006F5524" w:rsidP="00780E9E">
            <w:pPr>
              <w:spacing w:after="120" w:line="240" w:lineRule="auto"/>
              <w:rPr>
                <w:rFonts w:eastAsia="Arial" w:cstheme="minorHAnsi"/>
                <w:sz w:val="20"/>
                <w:szCs w:val="20"/>
              </w:rPr>
            </w:pPr>
            <w:r w:rsidRPr="36B296F5">
              <w:rPr>
                <w:rFonts w:eastAsia="Arial"/>
              </w:rPr>
              <w:t xml:space="preserve">Proven organizational capacity for </w:t>
            </w:r>
            <w:r w:rsidRPr="4B41E74F">
              <w:rPr>
                <w:rFonts w:eastAsia="Arial"/>
              </w:rPr>
              <w:t>the</w:t>
            </w:r>
            <w:r w:rsidRPr="36B296F5">
              <w:rPr>
                <w:rFonts w:eastAsia="Arial"/>
              </w:rPr>
              <w:t xml:space="preserve"> implementation of the assignment </w:t>
            </w:r>
          </w:p>
        </w:tc>
        <w:tc>
          <w:tcPr>
            <w:tcW w:w="79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AF9B94" w14:textId="58DDC628" w:rsidR="00717CC0" w:rsidRPr="00AB4424" w:rsidRDefault="006F5524" w:rsidP="00964025">
            <w:pPr>
              <w:pStyle w:val="ListParagraph"/>
              <w:numPr>
                <w:ilvl w:val="0"/>
                <w:numId w:val="34"/>
              </w:numPr>
              <w:spacing w:after="120" w:line="240" w:lineRule="auto"/>
              <w:ind w:left="354" w:hanging="270"/>
              <w:rPr>
                <w:rFonts w:eastAsia="Arial" w:cstheme="minorHAnsi"/>
                <w:sz w:val="20"/>
                <w:szCs w:val="20"/>
              </w:rPr>
            </w:pPr>
            <w:r w:rsidRPr="1AA6ABD6">
              <w:rPr>
                <w:rFonts w:eastAsia="Arial"/>
              </w:rPr>
              <w:t>Analysis of all resources that NGO has for successful project implementation. </w:t>
            </w:r>
            <w:r w:rsidRPr="2B50CDA3">
              <w:t xml:space="preserve">Final confirmation of the </w:t>
            </w:r>
            <w:r w:rsidRPr="19A3C34E">
              <w:t>IP’s</w:t>
            </w:r>
            <w:r w:rsidRPr="2B50CDA3">
              <w:t xml:space="preserve"> selection will be contingent upon the IP successfully meeting IOM’s </w:t>
            </w:r>
            <w:r w:rsidRPr="1E92B37F">
              <w:t>Due Diligence</w:t>
            </w:r>
            <w:r w:rsidRPr="2B50CDA3">
              <w:t xml:space="preserve"> requirements </w:t>
            </w:r>
            <w:r w:rsidRPr="00B52E6E">
              <w:t xml:space="preserve">(refer to Annex </w:t>
            </w:r>
            <w:r>
              <w:t>C</w:t>
            </w:r>
            <w:r w:rsidRPr="00B52E6E">
              <w:t xml:space="preserve"> for the IOM </w:t>
            </w:r>
            <w:r w:rsidRPr="000442BC">
              <w:t>General Information Questionnaire</w:t>
            </w:r>
            <w:r w:rsidRPr="59838EF8">
              <w:t>).</w:t>
            </w:r>
          </w:p>
        </w:tc>
        <w:tc>
          <w:tcPr>
            <w:tcW w:w="6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849B1B" w14:textId="40C5CA2E" w:rsidR="00780E9E" w:rsidRPr="00631C80" w:rsidRDefault="00D00051" w:rsidP="00780E9E">
            <w:pPr>
              <w:spacing w:after="120" w:line="240" w:lineRule="auto"/>
              <w:rPr>
                <w:rFonts w:eastAsia="Arial" w:cstheme="minorHAnsi"/>
                <w:sz w:val="20"/>
                <w:szCs w:val="20"/>
              </w:rPr>
            </w:pPr>
            <w:r w:rsidRPr="00631C80">
              <w:rPr>
                <w:rFonts w:eastAsia="Arial" w:cstheme="minorHAnsi"/>
                <w:sz w:val="20"/>
                <w:szCs w:val="20"/>
              </w:rPr>
              <w:t>2</w:t>
            </w:r>
            <w:r w:rsidR="00780E9E" w:rsidRPr="00631C80">
              <w:rPr>
                <w:rFonts w:eastAsia="Arial" w:cstheme="minorHAnsi"/>
                <w:sz w:val="20"/>
                <w:szCs w:val="20"/>
              </w:rPr>
              <w:t>0</w:t>
            </w:r>
          </w:p>
        </w:tc>
      </w:tr>
      <w:tr w:rsidR="006F5524" w:rsidRPr="00675063" w14:paraId="4BBA9779" w14:textId="77777777" w:rsidTr="008106E8">
        <w:trPr>
          <w:trHeight w:hRule="exact" w:val="1616"/>
        </w:trPr>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25EBB8" w14:textId="1518846B" w:rsidR="006F5524" w:rsidRPr="36B296F5" w:rsidRDefault="006F5524" w:rsidP="00780E9E">
            <w:pPr>
              <w:spacing w:after="120" w:line="240" w:lineRule="auto"/>
              <w:rPr>
                <w:rFonts w:eastAsia="Arial"/>
              </w:rPr>
            </w:pPr>
            <w:r w:rsidRPr="26C9ABF3">
              <w:rPr>
                <w:rFonts w:eastAsia="Arial"/>
              </w:rPr>
              <w:t xml:space="preserve">Successful former experience in </w:t>
            </w:r>
            <w:r w:rsidRPr="4CAEC54C">
              <w:rPr>
                <w:rFonts w:eastAsia="Arial"/>
              </w:rPr>
              <w:t xml:space="preserve">the </w:t>
            </w:r>
            <w:r w:rsidRPr="25AD5521">
              <w:rPr>
                <w:rFonts w:eastAsia="Arial"/>
              </w:rPr>
              <w:t xml:space="preserve">implementation </w:t>
            </w:r>
            <w:r w:rsidRPr="26C9ABF3">
              <w:rPr>
                <w:rFonts w:eastAsia="Arial"/>
              </w:rPr>
              <w:t>of similar projects </w:t>
            </w:r>
          </w:p>
        </w:tc>
        <w:tc>
          <w:tcPr>
            <w:tcW w:w="79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D0A060" w14:textId="5E7A103B" w:rsidR="006F5524" w:rsidRPr="1AA6ABD6" w:rsidRDefault="006F5524" w:rsidP="00964025">
            <w:pPr>
              <w:pStyle w:val="ListParagraph"/>
              <w:numPr>
                <w:ilvl w:val="0"/>
                <w:numId w:val="34"/>
              </w:numPr>
              <w:spacing w:after="120" w:line="240" w:lineRule="auto"/>
              <w:ind w:left="354" w:hanging="270"/>
              <w:rPr>
                <w:rFonts w:eastAsia="Arial"/>
              </w:rPr>
            </w:pPr>
            <w:r w:rsidRPr="7E987981">
              <w:rPr>
                <w:rFonts w:eastAsia="Arial"/>
              </w:rPr>
              <w:t>Assessment of former implementation record</w:t>
            </w:r>
            <w:r w:rsidRPr="21ECEC9C">
              <w:rPr>
                <w:rFonts w:eastAsia="Arial"/>
              </w:rPr>
              <w:t xml:space="preserve"> of </w:t>
            </w:r>
            <w:r w:rsidRPr="1F17E208">
              <w:rPr>
                <w:rFonts w:eastAsia="Arial"/>
              </w:rPr>
              <w:t>the Applicant</w:t>
            </w:r>
            <w:r w:rsidRPr="7E987981">
              <w:rPr>
                <w:rFonts w:eastAsia="Arial"/>
              </w:rPr>
              <w:t>, including projects funded by IOM and other humanitarian actors. </w:t>
            </w:r>
          </w:p>
        </w:tc>
        <w:tc>
          <w:tcPr>
            <w:tcW w:w="6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A554FE" w14:textId="3C8F7DB9" w:rsidR="006F5524" w:rsidRPr="00631C80" w:rsidRDefault="006F5524" w:rsidP="00780E9E">
            <w:pPr>
              <w:spacing w:after="120" w:line="240" w:lineRule="auto"/>
              <w:rPr>
                <w:rFonts w:eastAsia="Arial" w:cstheme="minorHAnsi"/>
                <w:sz w:val="20"/>
                <w:szCs w:val="20"/>
              </w:rPr>
            </w:pPr>
            <w:r>
              <w:rPr>
                <w:rFonts w:eastAsia="Arial" w:cstheme="minorHAnsi"/>
                <w:sz w:val="20"/>
                <w:szCs w:val="20"/>
              </w:rPr>
              <w:t>25</w:t>
            </w:r>
          </w:p>
        </w:tc>
      </w:tr>
      <w:tr w:rsidR="006F5524" w:rsidRPr="00675063" w14:paraId="4112CBE0" w14:textId="77777777" w:rsidTr="008106E8">
        <w:trPr>
          <w:trHeight w:hRule="exact" w:val="644"/>
        </w:trPr>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3748CF" w14:textId="036DD8B0" w:rsidR="006F5524" w:rsidRPr="26C9ABF3" w:rsidRDefault="006F5524" w:rsidP="00780E9E">
            <w:pPr>
              <w:spacing w:after="120" w:line="240" w:lineRule="auto"/>
              <w:rPr>
                <w:rFonts w:eastAsia="Arial"/>
              </w:rPr>
            </w:pPr>
            <w:r w:rsidRPr="00F73B7D">
              <w:rPr>
                <w:rFonts w:cstheme="minorHAnsi"/>
              </w:rPr>
              <w:t>Budget economy </w:t>
            </w:r>
          </w:p>
        </w:tc>
        <w:tc>
          <w:tcPr>
            <w:tcW w:w="79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F0FA99" w14:textId="44853B5D" w:rsidR="006F5524" w:rsidRPr="7E987981" w:rsidRDefault="006F5524" w:rsidP="00964025">
            <w:pPr>
              <w:pStyle w:val="ListParagraph"/>
              <w:numPr>
                <w:ilvl w:val="0"/>
                <w:numId w:val="34"/>
              </w:numPr>
              <w:spacing w:after="120" w:line="240" w:lineRule="auto"/>
              <w:ind w:left="354" w:hanging="270"/>
              <w:rPr>
                <w:rFonts w:eastAsia="Arial"/>
              </w:rPr>
            </w:pPr>
            <w:r w:rsidRPr="00F73B7D">
              <w:rPr>
                <w:rFonts w:cstheme="minorHAnsi"/>
              </w:rPr>
              <w:t>Relevance of the pricing to the overall situation on the market in the country</w:t>
            </w:r>
          </w:p>
        </w:tc>
        <w:tc>
          <w:tcPr>
            <w:tcW w:w="6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CAB1C5" w14:textId="09979A6B" w:rsidR="006F5524" w:rsidRDefault="006F5524" w:rsidP="00780E9E">
            <w:pPr>
              <w:spacing w:after="120" w:line="240" w:lineRule="auto"/>
              <w:rPr>
                <w:rFonts w:eastAsia="Arial" w:cstheme="minorHAnsi"/>
                <w:sz w:val="20"/>
                <w:szCs w:val="20"/>
              </w:rPr>
            </w:pPr>
            <w:r>
              <w:rPr>
                <w:rFonts w:eastAsia="Arial" w:cstheme="minorHAnsi"/>
                <w:sz w:val="20"/>
                <w:szCs w:val="20"/>
              </w:rPr>
              <w:t>10</w:t>
            </w:r>
          </w:p>
        </w:tc>
      </w:tr>
      <w:tr w:rsidR="006F5524" w:rsidRPr="00675063" w14:paraId="023F01E2" w14:textId="77777777" w:rsidTr="008106E8">
        <w:trPr>
          <w:trHeight w:hRule="exact" w:val="536"/>
        </w:trPr>
        <w:tc>
          <w:tcPr>
            <w:tcW w:w="18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445E59" w14:textId="7DE82774" w:rsidR="006F5524" w:rsidRPr="00F73B7D" w:rsidRDefault="006F5524" w:rsidP="00780E9E">
            <w:pPr>
              <w:spacing w:after="120" w:line="240" w:lineRule="auto"/>
              <w:rPr>
                <w:rFonts w:cstheme="minorHAnsi"/>
              </w:rPr>
            </w:pPr>
            <w:r w:rsidRPr="00F73B7D">
              <w:rPr>
                <w:rFonts w:cstheme="minorHAnsi"/>
              </w:rPr>
              <w:t>Budget feasibility </w:t>
            </w:r>
          </w:p>
        </w:tc>
        <w:tc>
          <w:tcPr>
            <w:tcW w:w="79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42325" w14:textId="3038C9EB" w:rsidR="006F5524" w:rsidRPr="00F73B7D" w:rsidRDefault="006F5524" w:rsidP="00964025">
            <w:pPr>
              <w:pStyle w:val="ListParagraph"/>
              <w:numPr>
                <w:ilvl w:val="0"/>
                <w:numId w:val="34"/>
              </w:numPr>
              <w:spacing w:after="120" w:line="240" w:lineRule="auto"/>
              <w:ind w:left="354" w:hanging="270"/>
              <w:rPr>
                <w:rFonts w:cstheme="minorHAnsi"/>
              </w:rPr>
            </w:pPr>
            <w:r w:rsidRPr="00F73B7D">
              <w:rPr>
                <w:rFonts w:cstheme="minorHAnsi"/>
              </w:rPr>
              <w:t>Analysis if the budget lines provided in budget proposal are in line with project logic and are reasonable for implementation </w:t>
            </w:r>
          </w:p>
        </w:tc>
        <w:tc>
          <w:tcPr>
            <w:tcW w:w="6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251FBA" w14:textId="5DA0B106" w:rsidR="006F5524" w:rsidRDefault="006F5524" w:rsidP="00780E9E">
            <w:pPr>
              <w:spacing w:after="120" w:line="240" w:lineRule="auto"/>
              <w:rPr>
                <w:rFonts w:eastAsia="Arial" w:cstheme="minorHAnsi"/>
                <w:sz w:val="20"/>
                <w:szCs w:val="20"/>
              </w:rPr>
            </w:pPr>
            <w:r>
              <w:rPr>
                <w:rFonts w:eastAsia="Arial" w:cstheme="minorHAnsi"/>
                <w:sz w:val="20"/>
                <w:szCs w:val="20"/>
              </w:rPr>
              <w:t>10</w:t>
            </w:r>
          </w:p>
        </w:tc>
      </w:tr>
    </w:tbl>
    <w:p w14:paraId="6EA64615" w14:textId="14B950C8" w:rsidR="00E431FD" w:rsidRDefault="00E431FD" w:rsidP="0091364B">
      <w:pPr>
        <w:spacing w:after="120" w:line="240" w:lineRule="auto"/>
        <w:rPr>
          <w:rFonts w:cstheme="minorHAnsi"/>
          <w:sz w:val="20"/>
          <w:szCs w:val="20"/>
        </w:rPr>
      </w:pPr>
    </w:p>
    <w:p w14:paraId="245CB9BC" w14:textId="77777777" w:rsidR="00E431FD" w:rsidRDefault="00E431FD">
      <w:pPr>
        <w:rPr>
          <w:rFonts w:cstheme="minorHAnsi"/>
          <w:sz w:val="20"/>
          <w:szCs w:val="20"/>
        </w:rPr>
      </w:pPr>
      <w:r>
        <w:rPr>
          <w:rFonts w:cstheme="minorHAnsi"/>
          <w:sz w:val="20"/>
          <w:szCs w:val="20"/>
        </w:rPr>
        <w:br w:type="page"/>
      </w:r>
    </w:p>
    <w:p w14:paraId="41487B91" w14:textId="77777777" w:rsidR="0024366C" w:rsidRPr="00675063" w:rsidRDefault="0024366C" w:rsidP="0091364B">
      <w:pPr>
        <w:spacing w:after="120" w:line="240" w:lineRule="auto"/>
        <w:rPr>
          <w:rFonts w:cstheme="minorHAnsi"/>
          <w:sz w:val="20"/>
          <w:szCs w:val="20"/>
        </w:rPr>
      </w:pPr>
    </w:p>
    <w:p w14:paraId="317E273B" w14:textId="5A1C6781" w:rsidR="0024366C" w:rsidRPr="00B50929" w:rsidRDefault="00DA2A10" w:rsidP="00DA2A10">
      <w:pPr>
        <w:tabs>
          <w:tab w:val="left" w:pos="720"/>
        </w:tabs>
        <w:spacing w:after="120" w:line="240" w:lineRule="auto"/>
        <w:rPr>
          <w:rFonts w:eastAsia="Arial" w:cstheme="minorHAnsi"/>
        </w:rPr>
      </w:pPr>
      <w:r>
        <w:rPr>
          <w:rFonts w:eastAsia="Arial" w:cstheme="minorHAnsi"/>
          <w:position w:val="-1"/>
        </w:rPr>
        <w:t xml:space="preserve">10.                   </w:t>
      </w:r>
      <w:r w:rsidR="00C529A8" w:rsidRPr="00B50929">
        <w:rPr>
          <w:rFonts w:eastAsia="Arial" w:cstheme="minorHAnsi"/>
          <w:b/>
          <w:bCs/>
          <w:i/>
          <w:position w:val="3"/>
        </w:rPr>
        <w:t>Attachments</w:t>
      </w:r>
    </w:p>
    <w:p w14:paraId="4FB3D2AE" w14:textId="77777777" w:rsidR="0024366C" w:rsidRPr="00675063" w:rsidRDefault="0024366C" w:rsidP="0091364B">
      <w:pPr>
        <w:spacing w:after="120" w:line="240" w:lineRule="auto"/>
        <w:rPr>
          <w:rFonts w:cstheme="minorHAnsi"/>
          <w:sz w:val="3"/>
          <w:szCs w:val="3"/>
        </w:rPr>
      </w:pPr>
    </w:p>
    <w:tbl>
      <w:tblPr>
        <w:tblW w:w="0" w:type="auto"/>
        <w:tblInd w:w="267" w:type="dxa"/>
        <w:tblLayout w:type="fixed"/>
        <w:tblCellMar>
          <w:left w:w="0" w:type="dxa"/>
          <w:right w:w="0" w:type="dxa"/>
        </w:tblCellMar>
        <w:tblLook w:val="01E0" w:firstRow="1" w:lastRow="1" w:firstColumn="1" w:lastColumn="1" w:noHBand="0" w:noVBand="0"/>
      </w:tblPr>
      <w:tblGrid>
        <w:gridCol w:w="6930"/>
      </w:tblGrid>
      <w:tr w:rsidR="00E92B83" w:rsidRPr="00F44FB0" w14:paraId="18511F04" w14:textId="77777777" w:rsidTr="00E431FD">
        <w:trPr>
          <w:trHeight w:hRule="exact" w:val="354"/>
        </w:trPr>
        <w:tc>
          <w:tcPr>
            <w:tcW w:w="693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0A64BA8" w14:textId="77777777" w:rsidR="00E92B83" w:rsidRPr="00F44FB0" w:rsidRDefault="00E92B83" w:rsidP="0091364B">
            <w:pPr>
              <w:spacing w:after="120" w:line="240" w:lineRule="auto"/>
              <w:rPr>
                <w:rFonts w:eastAsia="Arial" w:cstheme="minorHAnsi"/>
                <w:b/>
                <w:bCs/>
                <w:sz w:val="20"/>
                <w:szCs w:val="20"/>
              </w:rPr>
            </w:pPr>
            <w:r w:rsidRPr="00F44FB0">
              <w:rPr>
                <w:rFonts w:eastAsia="Arial" w:cstheme="minorHAnsi"/>
                <w:b/>
                <w:bCs/>
                <w:color w:val="FFFFFF"/>
                <w:sz w:val="20"/>
                <w:szCs w:val="20"/>
              </w:rPr>
              <w:t>Description</w:t>
            </w:r>
          </w:p>
        </w:tc>
      </w:tr>
      <w:tr w:rsidR="00E92B83" w:rsidRPr="00675063" w14:paraId="48B61447" w14:textId="77777777" w:rsidTr="00E431FD">
        <w:trPr>
          <w:trHeight w:val="20"/>
        </w:trPr>
        <w:tc>
          <w:tcPr>
            <w:tcW w:w="6930" w:type="dxa"/>
            <w:tcBorders>
              <w:top w:val="single" w:sz="2" w:space="0" w:color="000000"/>
              <w:left w:val="single" w:sz="2" w:space="0" w:color="000000"/>
              <w:bottom w:val="single" w:sz="2" w:space="0" w:color="000000"/>
              <w:right w:val="single" w:sz="2" w:space="0" w:color="000000"/>
            </w:tcBorders>
          </w:tcPr>
          <w:p w14:paraId="25292323" w14:textId="2F5BA0F5" w:rsidR="00E92B83" w:rsidRPr="00DA2A10" w:rsidRDefault="00E92B83" w:rsidP="0091364B">
            <w:pPr>
              <w:spacing w:after="120" w:line="240" w:lineRule="auto"/>
              <w:rPr>
                <w:rFonts w:eastAsia="Arial" w:cstheme="minorHAnsi"/>
                <w:color w:val="4F81BD" w:themeColor="accent1"/>
                <w:sz w:val="20"/>
                <w:szCs w:val="20"/>
              </w:rPr>
            </w:pPr>
            <w:r w:rsidRPr="00DA2A10">
              <w:rPr>
                <w:rFonts w:eastAsia="Arial" w:cstheme="minorHAnsi"/>
                <w:color w:val="4F81BD" w:themeColor="accent1"/>
                <w:sz w:val="20"/>
                <w:szCs w:val="20"/>
              </w:rPr>
              <w:t>ANNEX A – Terms of Reference</w:t>
            </w:r>
          </w:p>
        </w:tc>
      </w:tr>
      <w:tr w:rsidR="00E92B83" w:rsidRPr="00675063" w14:paraId="3DEED669" w14:textId="77777777" w:rsidTr="00E431FD">
        <w:trPr>
          <w:trHeight w:val="20"/>
        </w:trPr>
        <w:tc>
          <w:tcPr>
            <w:tcW w:w="6930" w:type="dxa"/>
            <w:tcBorders>
              <w:top w:val="single" w:sz="2" w:space="0" w:color="000000"/>
              <w:left w:val="single" w:sz="2" w:space="0" w:color="000000"/>
              <w:bottom w:val="single" w:sz="2" w:space="0" w:color="000000"/>
              <w:right w:val="single" w:sz="2" w:space="0" w:color="000000"/>
            </w:tcBorders>
          </w:tcPr>
          <w:p w14:paraId="0714D5CA" w14:textId="7780E1F5" w:rsidR="00E92B83" w:rsidRPr="00DA2A10" w:rsidRDefault="00E92B83" w:rsidP="0091364B">
            <w:pPr>
              <w:spacing w:after="120" w:line="240" w:lineRule="auto"/>
              <w:rPr>
                <w:rFonts w:eastAsia="Arial" w:cstheme="minorHAnsi"/>
                <w:sz w:val="20"/>
                <w:szCs w:val="20"/>
              </w:rPr>
            </w:pPr>
            <w:r w:rsidRPr="00DA2A10">
              <w:rPr>
                <w:rFonts w:eastAsia="Arial" w:cstheme="minorHAnsi"/>
                <w:color w:val="4F81BD" w:themeColor="accent1"/>
                <w:sz w:val="20"/>
                <w:szCs w:val="20"/>
              </w:rPr>
              <w:t>ANNEX B - Implementing Partner References Checklist</w:t>
            </w:r>
          </w:p>
        </w:tc>
      </w:tr>
      <w:tr w:rsidR="00E92B83" w:rsidRPr="00675063" w14:paraId="7A132779" w14:textId="77777777" w:rsidTr="00E431FD">
        <w:trPr>
          <w:trHeight w:val="20"/>
        </w:trPr>
        <w:tc>
          <w:tcPr>
            <w:tcW w:w="6930" w:type="dxa"/>
            <w:tcBorders>
              <w:top w:val="single" w:sz="2" w:space="0" w:color="000000"/>
              <w:left w:val="single" w:sz="2" w:space="0" w:color="000000"/>
              <w:bottom w:val="single" w:sz="2" w:space="0" w:color="000000"/>
              <w:right w:val="single" w:sz="2" w:space="0" w:color="000000"/>
            </w:tcBorders>
          </w:tcPr>
          <w:p w14:paraId="30C08F9C" w14:textId="34EF9A59" w:rsidR="00E92B83" w:rsidRPr="00DA2A10" w:rsidRDefault="00E92B83" w:rsidP="0091364B">
            <w:pPr>
              <w:spacing w:after="120" w:line="240" w:lineRule="auto"/>
              <w:rPr>
                <w:rFonts w:cstheme="minorHAnsi"/>
                <w:color w:val="4F81BD" w:themeColor="accent1"/>
                <w:sz w:val="20"/>
                <w:szCs w:val="20"/>
              </w:rPr>
            </w:pPr>
            <w:r w:rsidRPr="00DA2A10">
              <w:rPr>
                <w:rFonts w:cstheme="minorHAnsi"/>
                <w:color w:val="4F81BD" w:themeColor="accent1"/>
                <w:sz w:val="20"/>
                <w:szCs w:val="20"/>
              </w:rPr>
              <w:t xml:space="preserve">ANNEX C - Implementing Partners General Information Questionnaire </w:t>
            </w:r>
          </w:p>
        </w:tc>
      </w:tr>
      <w:tr w:rsidR="00E92B83" w:rsidRPr="00675063" w14:paraId="2813CAA8" w14:textId="77777777" w:rsidTr="00E431FD">
        <w:trPr>
          <w:trHeight w:val="20"/>
        </w:trPr>
        <w:tc>
          <w:tcPr>
            <w:tcW w:w="6930" w:type="dxa"/>
            <w:tcBorders>
              <w:top w:val="single" w:sz="2" w:space="0" w:color="000000"/>
              <w:left w:val="single" w:sz="2" w:space="0" w:color="000000"/>
              <w:bottom w:val="single" w:sz="2" w:space="0" w:color="000000"/>
              <w:right w:val="single" w:sz="2" w:space="0" w:color="000000"/>
            </w:tcBorders>
          </w:tcPr>
          <w:p w14:paraId="447EB199" w14:textId="2DD70E35" w:rsidR="00E92B83" w:rsidRPr="00DA2A10" w:rsidRDefault="00E92B83" w:rsidP="0091364B">
            <w:pPr>
              <w:spacing w:after="120" w:line="240" w:lineRule="auto"/>
              <w:rPr>
                <w:rFonts w:cstheme="minorHAnsi"/>
                <w:color w:val="4F81BD" w:themeColor="accent1"/>
                <w:sz w:val="20"/>
                <w:szCs w:val="20"/>
              </w:rPr>
            </w:pPr>
            <w:r w:rsidRPr="00DA2A10">
              <w:rPr>
                <w:rFonts w:cstheme="minorHAnsi"/>
                <w:color w:val="4F81BD" w:themeColor="accent1"/>
                <w:sz w:val="20"/>
                <w:szCs w:val="20"/>
              </w:rPr>
              <w:t>ANNEX D - Concept Note Template</w:t>
            </w:r>
          </w:p>
        </w:tc>
      </w:tr>
      <w:tr w:rsidR="00E92B83" w:rsidRPr="00675063" w14:paraId="2D71D991" w14:textId="77777777" w:rsidTr="00E431FD">
        <w:trPr>
          <w:trHeight w:val="20"/>
        </w:trPr>
        <w:tc>
          <w:tcPr>
            <w:tcW w:w="6930" w:type="dxa"/>
            <w:tcBorders>
              <w:top w:val="single" w:sz="2" w:space="0" w:color="000000"/>
              <w:left w:val="single" w:sz="2" w:space="0" w:color="000000"/>
              <w:bottom w:val="single" w:sz="2" w:space="0" w:color="000000"/>
              <w:right w:val="single" w:sz="2" w:space="0" w:color="000000"/>
            </w:tcBorders>
          </w:tcPr>
          <w:p w14:paraId="72321D9D" w14:textId="383E6596" w:rsidR="00E92B83" w:rsidRPr="00DA2A10" w:rsidRDefault="00E92B83" w:rsidP="0091364B">
            <w:pPr>
              <w:spacing w:after="120" w:line="240" w:lineRule="auto"/>
              <w:rPr>
                <w:rFonts w:eastAsia="Arial" w:cstheme="minorHAnsi"/>
                <w:color w:val="4F81BD" w:themeColor="accent1"/>
                <w:sz w:val="20"/>
                <w:szCs w:val="20"/>
              </w:rPr>
            </w:pPr>
            <w:r w:rsidRPr="00DA2A10">
              <w:rPr>
                <w:rFonts w:eastAsia="Arial" w:cstheme="minorHAnsi"/>
                <w:color w:val="4F81BD" w:themeColor="accent1"/>
                <w:sz w:val="20"/>
                <w:szCs w:val="20"/>
              </w:rPr>
              <w:t>ANNEX E - Financial and Narrative Reporting Templates</w:t>
            </w:r>
          </w:p>
        </w:tc>
      </w:tr>
      <w:tr w:rsidR="00E92B83" w:rsidRPr="00675063" w14:paraId="1B5A0981" w14:textId="77777777" w:rsidTr="00E431FD">
        <w:trPr>
          <w:trHeight w:val="20"/>
        </w:trPr>
        <w:tc>
          <w:tcPr>
            <w:tcW w:w="6930" w:type="dxa"/>
            <w:tcBorders>
              <w:top w:val="single" w:sz="2" w:space="0" w:color="000000"/>
              <w:left w:val="single" w:sz="2" w:space="0" w:color="000000"/>
              <w:bottom w:val="single" w:sz="2" w:space="0" w:color="000000"/>
              <w:right w:val="single" w:sz="2" w:space="0" w:color="000000"/>
            </w:tcBorders>
          </w:tcPr>
          <w:p w14:paraId="50BAA12B" w14:textId="68FCEB85" w:rsidR="00E92B83" w:rsidRPr="00DA2A10" w:rsidRDefault="00E92B83" w:rsidP="0091364B">
            <w:pPr>
              <w:spacing w:after="120" w:line="240" w:lineRule="auto"/>
              <w:rPr>
                <w:rFonts w:eastAsia="Arial" w:cstheme="minorHAnsi"/>
                <w:color w:val="4F81BD" w:themeColor="accent1"/>
                <w:sz w:val="20"/>
                <w:szCs w:val="20"/>
              </w:rPr>
            </w:pPr>
            <w:r w:rsidRPr="00DA2A10">
              <w:rPr>
                <w:rFonts w:eastAsia="Arial" w:cstheme="minorHAnsi"/>
                <w:color w:val="4F81BD" w:themeColor="accent1"/>
                <w:sz w:val="20"/>
                <w:szCs w:val="20"/>
              </w:rPr>
              <w:t xml:space="preserve">ANNEX F - Project Implementation Agreement Template </w:t>
            </w:r>
          </w:p>
        </w:tc>
      </w:tr>
      <w:tr w:rsidR="00E92B83" w:rsidRPr="00675063" w14:paraId="02C259BB" w14:textId="77777777" w:rsidTr="00E431FD">
        <w:trPr>
          <w:trHeight w:val="20"/>
        </w:trPr>
        <w:tc>
          <w:tcPr>
            <w:tcW w:w="6930" w:type="dxa"/>
            <w:tcBorders>
              <w:top w:val="single" w:sz="2" w:space="0" w:color="000000"/>
              <w:left w:val="single" w:sz="2" w:space="0" w:color="000000"/>
              <w:bottom w:val="single" w:sz="2" w:space="0" w:color="000000"/>
              <w:right w:val="single" w:sz="2" w:space="0" w:color="000000"/>
            </w:tcBorders>
          </w:tcPr>
          <w:p w14:paraId="47FE54E8" w14:textId="3B0178D3" w:rsidR="00E92B83" w:rsidRPr="00DA2A10" w:rsidRDefault="00E92B83" w:rsidP="0091364B">
            <w:pPr>
              <w:spacing w:after="120" w:line="240" w:lineRule="auto"/>
              <w:rPr>
                <w:rFonts w:eastAsia="Arial" w:cstheme="minorHAnsi"/>
                <w:color w:val="4F81BD" w:themeColor="accent1"/>
                <w:sz w:val="20"/>
                <w:szCs w:val="20"/>
              </w:rPr>
            </w:pPr>
            <w:r w:rsidRPr="00DA2A10">
              <w:rPr>
                <w:rFonts w:eastAsia="Arial" w:cstheme="minorHAnsi"/>
                <w:color w:val="4F81BD" w:themeColor="accent1"/>
                <w:sz w:val="20"/>
                <w:szCs w:val="20"/>
              </w:rPr>
              <w:t>ANNEX G – Declaration of Conformity for Partners</w:t>
            </w:r>
          </w:p>
        </w:tc>
      </w:tr>
      <w:tr w:rsidR="00E92B83" w:rsidRPr="00675063" w14:paraId="218322D8" w14:textId="77777777" w:rsidTr="00E431FD">
        <w:trPr>
          <w:trHeight w:val="20"/>
        </w:trPr>
        <w:tc>
          <w:tcPr>
            <w:tcW w:w="6930" w:type="dxa"/>
            <w:tcBorders>
              <w:top w:val="single" w:sz="2" w:space="0" w:color="000000"/>
              <w:left w:val="single" w:sz="2" w:space="0" w:color="000000"/>
              <w:bottom w:val="single" w:sz="2" w:space="0" w:color="000000"/>
              <w:right w:val="single" w:sz="2" w:space="0" w:color="000000"/>
            </w:tcBorders>
          </w:tcPr>
          <w:p w14:paraId="59E71C77" w14:textId="1F0AB88A" w:rsidR="00E92B83" w:rsidRPr="00DA2A10" w:rsidRDefault="00E92B83" w:rsidP="0091364B">
            <w:pPr>
              <w:spacing w:after="120" w:line="240" w:lineRule="auto"/>
              <w:rPr>
                <w:rFonts w:eastAsia="Arial" w:cstheme="minorHAnsi"/>
                <w:sz w:val="20"/>
                <w:szCs w:val="20"/>
              </w:rPr>
            </w:pPr>
            <w:r>
              <w:rPr>
                <w:rFonts w:eastAsia="Arial" w:cstheme="minorHAnsi"/>
                <w:color w:val="4F81BD" w:themeColor="accent1"/>
                <w:sz w:val="20"/>
                <w:szCs w:val="20"/>
              </w:rPr>
              <w:t>ANNEX H – Budget Template</w:t>
            </w:r>
          </w:p>
        </w:tc>
      </w:tr>
      <w:tr w:rsidR="00E92B83" w:rsidRPr="00675063" w14:paraId="725A131B" w14:textId="77777777" w:rsidTr="00E431FD">
        <w:trPr>
          <w:trHeight w:val="20"/>
        </w:trPr>
        <w:tc>
          <w:tcPr>
            <w:tcW w:w="6930" w:type="dxa"/>
            <w:tcBorders>
              <w:top w:val="single" w:sz="2" w:space="0" w:color="000000"/>
              <w:left w:val="single" w:sz="2" w:space="0" w:color="000000"/>
              <w:bottom w:val="single" w:sz="2" w:space="0" w:color="000000"/>
              <w:right w:val="single" w:sz="2" w:space="0" w:color="000000"/>
            </w:tcBorders>
          </w:tcPr>
          <w:p w14:paraId="36799BC8" w14:textId="24747108" w:rsidR="00E92B83" w:rsidRDefault="00E92B83" w:rsidP="0091364B">
            <w:pPr>
              <w:spacing w:after="120" w:line="240" w:lineRule="auto"/>
              <w:rPr>
                <w:rFonts w:eastAsia="Arial" w:cstheme="minorHAnsi"/>
                <w:color w:val="4F81BD" w:themeColor="accent1"/>
                <w:sz w:val="20"/>
                <w:szCs w:val="20"/>
              </w:rPr>
            </w:pPr>
            <w:r>
              <w:rPr>
                <w:rFonts w:eastAsia="Arial" w:cstheme="minorHAnsi"/>
                <w:color w:val="4F81BD" w:themeColor="accent1"/>
                <w:sz w:val="20"/>
                <w:szCs w:val="20"/>
              </w:rPr>
              <w:t xml:space="preserve">ANNEX </w:t>
            </w:r>
            <w:r w:rsidR="00E431FD">
              <w:rPr>
                <w:rFonts w:eastAsia="Arial" w:cstheme="minorHAnsi"/>
                <w:color w:val="4F81BD" w:themeColor="accent1"/>
                <w:sz w:val="20"/>
                <w:szCs w:val="20"/>
              </w:rPr>
              <w:t>I – IOM Data Protection Notice</w:t>
            </w:r>
          </w:p>
        </w:tc>
      </w:tr>
    </w:tbl>
    <w:p w14:paraId="750E5192" w14:textId="77777777" w:rsidR="00E92B83" w:rsidRDefault="00E92B83" w:rsidP="00E92B83">
      <w:pPr>
        <w:spacing w:after="120" w:line="240" w:lineRule="auto"/>
        <w:ind w:firstLine="180"/>
        <w:rPr>
          <w:rFonts w:cstheme="minorHAnsi"/>
          <w:sz w:val="20"/>
          <w:szCs w:val="20"/>
          <w:lang w:val="en-GB"/>
        </w:rPr>
      </w:pPr>
    </w:p>
    <w:p w14:paraId="415C51B0" w14:textId="20315766" w:rsidR="00E92B83" w:rsidRPr="007669BC" w:rsidRDefault="00E92B83" w:rsidP="007669BC">
      <w:pPr>
        <w:pStyle w:val="ListParagraph"/>
        <w:numPr>
          <w:ilvl w:val="0"/>
          <w:numId w:val="46"/>
        </w:numPr>
        <w:spacing w:after="120" w:line="240" w:lineRule="auto"/>
        <w:ind w:right="-72"/>
        <w:jc w:val="both"/>
        <w:rPr>
          <w:rFonts w:eastAsiaTheme="minorEastAsia"/>
          <w:b/>
          <w:bCs/>
          <w:i/>
          <w:iCs/>
        </w:rPr>
      </w:pPr>
      <w:r w:rsidRPr="007669BC">
        <w:rPr>
          <w:rFonts w:eastAsiaTheme="minorEastAsia"/>
          <w:b/>
          <w:bCs/>
          <w:i/>
          <w:iCs/>
        </w:rPr>
        <w:t>Amendment of Call for Expression of Interest Documents</w:t>
      </w:r>
    </w:p>
    <w:p w14:paraId="0DB6AC53" w14:textId="77777777" w:rsidR="00E92B83" w:rsidRPr="00322451" w:rsidRDefault="00E92B83" w:rsidP="00E92B83">
      <w:pPr>
        <w:spacing w:after="0"/>
        <w:ind w:left="187"/>
      </w:pPr>
      <w:r>
        <w:t xml:space="preserve">The organizations responding to this CEI should demonstrate their capacity to implement all the activities listed in the submitted concept note. Applications which do not correspond to the guidelines and are not accompanied by the mandatory documents will not be considered. </w:t>
      </w:r>
    </w:p>
    <w:p w14:paraId="33FDA865" w14:textId="77777777" w:rsidR="00E92B83" w:rsidRDefault="00E92B83" w:rsidP="00E92B83">
      <w:pPr>
        <w:spacing w:after="0"/>
        <w:ind w:left="187"/>
        <w:rPr>
          <w:rFonts w:cstheme="minorHAnsi"/>
          <w:lang w:val="en-GB"/>
        </w:rPr>
      </w:pPr>
      <w:r w:rsidRPr="005F1BB1">
        <w:rPr>
          <w:rFonts w:cstheme="minorHAnsi"/>
          <w:lang w:val="en-GB"/>
        </w:rPr>
        <w:t>IOM reserves the right to cancel/reduce the scope of planned activities or to introduce new/broaden the scope of the existing activities.</w:t>
      </w:r>
    </w:p>
    <w:p w14:paraId="25320608" w14:textId="77777777" w:rsidR="00E92B83" w:rsidRDefault="00E92B83" w:rsidP="00E92B83">
      <w:pPr>
        <w:spacing w:after="0"/>
        <w:ind w:left="187"/>
        <w:rPr>
          <w:rFonts w:cstheme="minorHAnsi"/>
          <w:lang w:val="en-GB"/>
        </w:rPr>
      </w:pPr>
      <w:r w:rsidRPr="00F73B7D">
        <w:rPr>
          <w:rFonts w:cstheme="minorHAnsi"/>
        </w:rPr>
        <w:t xml:space="preserve">All prospective Applicants who received the initial </w:t>
      </w:r>
      <w:r w:rsidRPr="00433567">
        <w:rPr>
          <w:rFonts w:cstheme="minorHAnsi"/>
        </w:rPr>
        <w:t>C</w:t>
      </w:r>
      <w:r>
        <w:rPr>
          <w:rFonts w:cstheme="minorHAnsi"/>
        </w:rPr>
        <w:t>EI</w:t>
      </w:r>
      <w:r w:rsidRPr="00F73B7D">
        <w:rPr>
          <w:rFonts w:cstheme="minorHAnsi"/>
        </w:rPr>
        <w:t xml:space="preserve"> documents will be notified of the amendment in writing and will be binding on them. Amended document prevails.</w:t>
      </w:r>
    </w:p>
    <w:p w14:paraId="0B1E247F" w14:textId="77777777" w:rsidR="00E92B83" w:rsidRDefault="00E92B83" w:rsidP="00E92B83">
      <w:pPr>
        <w:ind w:left="180"/>
        <w:rPr>
          <w:rFonts w:cstheme="minorHAnsi"/>
          <w:lang w:val="en-GB"/>
        </w:rPr>
      </w:pPr>
      <w:r w:rsidRPr="00F73B7D">
        <w:rPr>
          <w:rFonts w:cstheme="minorHAnsi"/>
        </w:rPr>
        <w:t>To allow prospective Applicants reasonable time in which to take the amendment into account in preparing their Applications, IOM, at its discretion, may extend the deadline for the submission of Applications.</w:t>
      </w:r>
    </w:p>
    <w:p w14:paraId="1E6AC979" w14:textId="4C2829B9" w:rsidR="00E92B83" w:rsidRPr="007669BC" w:rsidRDefault="00E92B83" w:rsidP="007669BC">
      <w:pPr>
        <w:pStyle w:val="ListParagraph"/>
        <w:numPr>
          <w:ilvl w:val="0"/>
          <w:numId w:val="46"/>
        </w:numPr>
        <w:rPr>
          <w:rFonts w:cstheme="minorHAnsi"/>
          <w:i/>
          <w:iCs/>
          <w:lang w:val="en-GB"/>
        </w:rPr>
      </w:pPr>
      <w:r w:rsidRPr="007669BC">
        <w:rPr>
          <w:rFonts w:cstheme="minorHAnsi"/>
          <w:b/>
          <w:bCs/>
          <w:i/>
          <w:iCs/>
        </w:rPr>
        <w:t>Expression of Interest submission guidelines</w:t>
      </w:r>
    </w:p>
    <w:p w14:paraId="01BFD651" w14:textId="77777777" w:rsidR="00E92B83" w:rsidRDefault="00E92B83" w:rsidP="00E92B83">
      <w:pPr>
        <w:ind w:left="180"/>
        <w:jc w:val="both"/>
        <w:rPr>
          <w:lang w:val="en-GB"/>
        </w:rPr>
      </w:pPr>
      <w:r w:rsidRPr="006B0C9C">
        <w:rPr>
          <w:lang w:val="en-GB"/>
        </w:rPr>
        <w:t xml:space="preserve">The </w:t>
      </w:r>
      <w:r w:rsidRPr="006B0C9C">
        <w:t xml:space="preserve">Applications must be sent in the form of scanned copies of all the documents in pdf format to the address </w:t>
      </w:r>
      <w:hyperlink r:id="rId11" w:history="1">
        <w:r w:rsidRPr="00B76FFC">
          <w:rPr>
            <w:rStyle w:val="Hyperlink"/>
            <w:b/>
          </w:rPr>
          <w:t>iomchisinau@iom.int</w:t>
        </w:r>
      </w:hyperlink>
      <w:r w:rsidRPr="113CB31A">
        <w:rPr>
          <w:rFonts w:eastAsiaTheme="minorEastAsia"/>
          <w:lang w:val="en-GB"/>
        </w:rPr>
        <w:t xml:space="preserve"> </w:t>
      </w:r>
      <w:r w:rsidRPr="006B0C9C">
        <w:t>before the indicated deadline –</w:t>
      </w:r>
      <w:r w:rsidRPr="006B0C9C">
        <w:rPr>
          <w:b/>
        </w:rPr>
        <w:t xml:space="preserve"> </w:t>
      </w:r>
      <w:r>
        <w:rPr>
          <w:b/>
        </w:rPr>
        <w:t>24 December</w:t>
      </w:r>
      <w:r w:rsidRPr="006B0C9C">
        <w:rPr>
          <w:b/>
        </w:rPr>
        <w:t xml:space="preserve"> 2025 </w:t>
      </w:r>
      <w:r w:rsidRPr="006B0C9C">
        <w:rPr>
          <w:b/>
          <w:bCs/>
        </w:rPr>
        <w:t>- 18:00 GMT+3.</w:t>
      </w:r>
      <w:r w:rsidRPr="006B0C9C">
        <w:rPr>
          <w:b/>
        </w:rPr>
        <w:t xml:space="preserve"> </w:t>
      </w:r>
      <w:r w:rsidRPr="006B0C9C">
        <w:rPr>
          <w:lang w:val="en-GB"/>
        </w:rPr>
        <w:t>Late Applications will no longer be considered</w:t>
      </w:r>
      <w:r w:rsidRPr="1DBD980F">
        <w:rPr>
          <w:lang w:val="en-GB"/>
        </w:rPr>
        <w:t>.</w:t>
      </w:r>
    </w:p>
    <w:p w14:paraId="378D8D1C" w14:textId="77777777" w:rsidR="00E92B83" w:rsidRDefault="00E92B83" w:rsidP="00E92B83">
      <w:pPr>
        <w:ind w:left="180"/>
        <w:jc w:val="both"/>
        <w:rPr>
          <w:rFonts w:cstheme="minorHAnsi"/>
        </w:rPr>
      </w:pPr>
      <w:r w:rsidRPr="00F73B7D">
        <w:rPr>
          <w:rFonts w:cstheme="minorHAnsi"/>
        </w:rPr>
        <w:t xml:space="preserve">The total size of the attachment sent in a single message should not exceed </w:t>
      </w:r>
      <w:r>
        <w:rPr>
          <w:rFonts w:cstheme="minorHAnsi"/>
        </w:rPr>
        <w:t>20</w:t>
      </w:r>
      <w:r w:rsidRPr="00F73B7D">
        <w:rPr>
          <w:rFonts w:cstheme="minorHAnsi"/>
        </w:rPr>
        <w:t xml:space="preserve"> MB. Otherwise, files shall be uploaded to any open file sharing service (Dropbox, OneDrive) that does not require registration, and the link to download the folder with files shall be sent via email.</w:t>
      </w:r>
    </w:p>
    <w:p w14:paraId="4C6B410B" w14:textId="77777777" w:rsidR="00E92B83" w:rsidRPr="00F73B7D" w:rsidRDefault="00E92B83" w:rsidP="00E92B83">
      <w:pPr>
        <w:ind w:left="180"/>
        <w:jc w:val="both"/>
        <w:rPr>
          <w:i/>
        </w:rPr>
      </w:pPr>
      <w:r w:rsidRPr="00F73B7D">
        <w:rPr>
          <w:i/>
        </w:rPr>
        <w:t xml:space="preserve">Please, indicate clearly in the subject line of an e-mail the following information: </w:t>
      </w:r>
    </w:p>
    <w:p w14:paraId="6DEC4222" w14:textId="77777777" w:rsidR="007669BC" w:rsidRPr="007669BC" w:rsidRDefault="00E92B83" w:rsidP="00E92B83">
      <w:pPr>
        <w:pStyle w:val="ListParagraph"/>
        <w:numPr>
          <w:ilvl w:val="0"/>
          <w:numId w:val="6"/>
        </w:numPr>
        <w:jc w:val="both"/>
        <w:rPr>
          <w:lang w:val="en-GB"/>
        </w:rPr>
      </w:pPr>
      <w:r w:rsidRPr="7A4E9699">
        <w:rPr>
          <w:b/>
          <w:i/>
        </w:rPr>
        <w:t xml:space="preserve"> NGO’s name</w:t>
      </w:r>
      <w:r>
        <w:rPr>
          <w:b/>
          <w:i/>
        </w:rPr>
        <w:t xml:space="preserve">_CSO4MIA_application </w:t>
      </w:r>
      <w:proofErr w:type="spellStart"/>
      <w:r>
        <w:rPr>
          <w:b/>
          <w:i/>
        </w:rPr>
        <w:t>form_awareness</w:t>
      </w:r>
      <w:proofErr w:type="spellEnd"/>
      <w:r>
        <w:rPr>
          <w:b/>
          <w:i/>
        </w:rPr>
        <w:t xml:space="preserve"> raising. </w:t>
      </w:r>
    </w:p>
    <w:p w14:paraId="49AB139E" w14:textId="47AA5E30" w:rsidR="00E92B83" w:rsidRPr="000B26C9" w:rsidRDefault="00E92B83" w:rsidP="007669BC">
      <w:pPr>
        <w:pStyle w:val="ListParagraph"/>
        <w:jc w:val="both"/>
        <w:rPr>
          <w:lang w:val="en-GB"/>
        </w:rPr>
      </w:pPr>
      <w:r w:rsidRPr="000B26C9">
        <w:rPr>
          <w:lang w:val="en-GB"/>
        </w:rPr>
        <w:t>The presented documents must be signed on all pages by the Implementing Partner’s Authorized Representative.</w:t>
      </w:r>
    </w:p>
    <w:p w14:paraId="431C7F52" w14:textId="77777777" w:rsidR="00E92B83" w:rsidRPr="00F73B7D" w:rsidRDefault="00E92B83" w:rsidP="00E92B83">
      <w:pPr>
        <w:pStyle w:val="ListParagraph"/>
        <w:numPr>
          <w:ilvl w:val="0"/>
          <w:numId w:val="6"/>
        </w:numPr>
        <w:spacing w:after="120" w:line="240" w:lineRule="auto"/>
        <w:contextualSpacing w:val="0"/>
        <w:jc w:val="both"/>
        <w:rPr>
          <w:rFonts w:cstheme="minorHAnsi"/>
          <w:lang w:val="en-GB"/>
        </w:rPr>
      </w:pPr>
      <w:r w:rsidRPr="005F1BB1">
        <w:rPr>
          <w:rFonts w:cstheme="minorHAnsi"/>
          <w:lang w:val="en-GB"/>
        </w:rPr>
        <w:t xml:space="preserve">A detailed description </w:t>
      </w:r>
      <w:r>
        <w:rPr>
          <w:rFonts w:cstheme="minorHAnsi"/>
          <w:lang w:val="en-GB"/>
        </w:rPr>
        <w:t>(</w:t>
      </w:r>
      <w:r w:rsidRPr="00146B6E">
        <w:rPr>
          <w:rFonts w:cstheme="minorHAnsi"/>
        </w:rPr>
        <w:t>Cover Letter</w:t>
      </w:r>
      <w:r>
        <w:rPr>
          <w:rFonts w:cstheme="minorHAnsi"/>
        </w:rPr>
        <w:t>)</w:t>
      </w:r>
      <w:r w:rsidRPr="005F1BB1">
        <w:rPr>
          <w:rFonts w:cstheme="minorHAnsi"/>
          <w:lang w:val="en-GB"/>
        </w:rPr>
        <w:t xml:space="preserve"> must be provided on how the requirements specified in the Call for Expression of Interest (CEI) issued by IOM will be matched </w:t>
      </w:r>
      <w:r>
        <w:rPr>
          <w:rFonts w:cstheme="minorHAnsi"/>
          <w:lang w:val="en-GB"/>
        </w:rPr>
        <w:t xml:space="preserve">with </w:t>
      </w:r>
      <w:r w:rsidRPr="005F1BB1">
        <w:rPr>
          <w:rFonts w:cstheme="minorHAnsi"/>
          <w:lang w:val="en-GB"/>
        </w:rPr>
        <w:t>capabilities, experience, knowledge and expertise of the Implementing Partners</w:t>
      </w:r>
      <w:r>
        <w:rPr>
          <w:rFonts w:cstheme="minorHAnsi"/>
          <w:lang w:val="en-GB"/>
        </w:rPr>
        <w:t>.</w:t>
      </w:r>
    </w:p>
    <w:p w14:paraId="374D4E59" w14:textId="77777777" w:rsidR="00E92B83" w:rsidRPr="00F73B7D" w:rsidRDefault="00E92B83" w:rsidP="00E92B83">
      <w:pPr>
        <w:pStyle w:val="ListParagraph"/>
        <w:numPr>
          <w:ilvl w:val="0"/>
          <w:numId w:val="6"/>
        </w:numPr>
        <w:spacing w:after="120" w:line="240" w:lineRule="auto"/>
        <w:contextualSpacing w:val="0"/>
        <w:jc w:val="both"/>
        <w:rPr>
          <w:rFonts w:cstheme="minorHAnsi"/>
          <w:lang w:val="en-GB"/>
        </w:rPr>
      </w:pPr>
      <w:r>
        <w:rPr>
          <w:rFonts w:eastAsiaTheme="minorEastAsia"/>
          <w:color w:val="000000" w:themeColor="text1"/>
        </w:rPr>
        <w:t xml:space="preserve">The date and time of receipt of the email containing the Application shall be used as the actual date and time of submission of the Application. In case of multiple emails containing the Application, the date and time of </w:t>
      </w:r>
      <w:r w:rsidRPr="15D09FE1">
        <w:rPr>
          <w:rFonts w:eastAsiaTheme="minorEastAsia"/>
          <w:color w:val="000000" w:themeColor="text1"/>
        </w:rPr>
        <w:t xml:space="preserve">the </w:t>
      </w:r>
      <w:r>
        <w:rPr>
          <w:rFonts w:eastAsiaTheme="minorEastAsia"/>
          <w:color w:val="000000" w:themeColor="text1"/>
        </w:rPr>
        <w:t>receipt of the first email shall be the date and time of receipt of the Application. IOM reserves the right to reject all of Applications received after the deadline.</w:t>
      </w:r>
    </w:p>
    <w:p w14:paraId="2BC372D7" w14:textId="77777777" w:rsidR="00E92B83" w:rsidRPr="00F73B7D" w:rsidRDefault="00E92B83" w:rsidP="00E92B83">
      <w:pPr>
        <w:pStyle w:val="ListParagraph"/>
        <w:numPr>
          <w:ilvl w:val="0"/>
          <w:numId w:val="6"/>
        </w:numPr>
        <w:spacing w:after="120" w:line="240" w:lineRule="auto"/>
        <w:jc w:val="both"/>
        <w:rPr>
          <w:b/>
          <w:lang w:val="en-GB"/>
        </w:rPr>
      </w:pPr>
      <w:r w:rsidRPr="00F73B7D">
        <w:rPr>
          <w:rFonts w:eastAsiaTheme="minorEastAsia"/>
          <w:b/>
          <w:bCs/>
          <w:color w:val="000000" w:themeColor="text1"/>
        </w:rPr>
        <w:lastRenderedPageBreak/>
        <w:t>Applicants shall submit the following documents to prove that they meet the minimum qualifications as an organization and must submit proof that they have staff with the necessary credentials to be deployed in the project in case they are selected:</w:t>
      </w:r>
    </w:p>
    <w:p w14:paraId="04197907" w14:textId="77777777" w:rsidR="00E92B83" w:rsidRDefault="00E92B83" w:rsidP="00E92B83">
      <w:pPr>
        <w:pStyle w:val="ListParagraph"/>
        <w:tabs>
          <w:tab w:val="left" w:pos="180"/>
        </w:tabs>
        <w:spacing w:after="0" w:line="240" w:lineRule="auto"/>
        <w:ind w:left="851"/>
        <w:jc w:val="both"/>
        <w:rPr>
          <w:rFonts w:eastAsiaTheme="minorEastAsia"/>
          <w:color w:val="000000" w:themeColor="text1"/>
        </w:rPr>
      </w:pPr>
      <w:r>
        <w:rPr>
          <w:rFonts w:eastAsiaTheme="minorEastAsia"/>
          <w:color w:val="000000" w:themeColor="text1"/>
        </w:rPr>
        <w:t>1)        All duly completed Annexes (referred to p.10 Attachments)</w:t>
      </w:r>
    </w:p>
    <w:p w14:paraId="6044A9A1" w14:textId="77777777" w:rsidR="00E92B83" w:rsidRDefault="00E92B83" w:rsidP="00E92B83">
      <w:pPr>
        <w:pStyle w:val="ListParagraph"/>
        <w:tabs>
          <w:tab w:val="left" w:pos="180"/>
        </w:tabs>
        <w:spacing w:after="0" w:line="240" w:lineRule="auto"/>
        <w:ind w:left="851"/>
        <w:jc w:val="both"/>
        <w:rPr>
          <w:rFonts w:eastAsiaTheme="minorEastAsia"/>
          <w:color w:val="000000" w:themeColor="text1"/>
        </w:rPr>
      </w:pPr>
      <w:r>
        <w:rPr>
          <w:rFonts w:eastAsiaTheme="minorEastAsia"/>
          <w:color w:val="000000" w:themeColor="text1"/>
        </w:rPr>
        <w:t>2)</w:t>
      </w:r>
      <w:r>
        <w:tab/>
      </w:r>
      <w:r>
        <w:rPr>
          <w:rFonts w:eastAsiaTheme="minorEastAsia"/>
          <w:color w:val="000000" w:themeColor="text1"/>
        </w:rPr>
        <w:t>Registration documents/Certificate of Registration</w:t>
      </w:r>
    </w:p>
    <w:p w14:paraId="452C6625" w14:textId="77777777" w:rsidR="00E92B83" w:rsidRDefault="00E92B83" w:rsidP="00E92B83">
      <w:pPr>
        <w:pStyle w:val="ListParagraph"/>
        <w:tabs>
          <w:tab w:val="left" w:pos="180"/>
        </w:tabs>
        <w:spacing w:after="0" w:line="240" w:lineRule="auto"/>
        <w:ind w:left="851"/>
        <w:jc w:val="both"/>
        <w:rPr>
          <w:rFonts w:eastAsiaTheme="minorEastAsia"/>
          <w:color w:val="000000" w:themeColor="text1"/>
        </w:rPr>
      </w:pPr>
      <w:r>
        <w:rPr>
          <w:rFonts w:eastAsiaTheme="minorEastAsia"/>
          <w:color w:val="000000" w:themeColor="text1"/>
        </w:rPr>
        <w:t>3)</w:t>
      </w:r>
      <w:r>
        <w:tab/>
      </w:r>
      <w:r>
        <w:rPr>
          <w:rFonts w:eastAsiaTheme="minorEastAsia"/>
          <w:color w:val="000000" w:themeColor="text1"/>
        </w:rPr>
        <w:t>Bank account certificate</w:t>
      </w:r>
    </w:p>
    <w:p w14:paraId="53577F6B" w14:textId="77777777" w:rsidR="00E92B83" w:rsidRDefault="00E92B83" w:rsidP="00E92B83">
      <w:pPr>
        <w:pStyle w:val="ListParagraph"/>
        <w:tabs>
          <w:tab w:val="left" w:pos="180"/>
        </w:tabs>
        <w:spacing w:after="0" w:line="240" w:lineRule="auto"/>
        <w:ind w:left="851"/>
        <w:jc w:val="both"/>
        <w:rPr>
          <w:rFonts w:eastAsiaTheme="minorEastAsia"/>
          <w:color w:val="000000" w:themeColor="text1"/>
        </w:rPr>
      </w:pPr>
      <w:r>
        <w:rPr>
          <w:rFonts w:eastAsiaTheme="minorEastAsia"/>
          <w:color w:val="000000" w:themeColor="text1"/>
        </w:rPr>
        <w:t>4)</w:t>
      </w:r>
      <w:r>
        <w:tab/>
      </w:r>
      <w:r>
        <w:rPr>
          <w:rFonts w:eastAsiaTheme="minorEastAsia"/>
          <w:color w:val="000000" w:themeColor="text1"/>
        </w:rPr>
        <w:t>Copies of financial statements submitted to the tax inspection for the last two years</w:t>
      </w:r>
    </w:p>
    <w:p w14:paraId="5EC00DE0" w14:textId="77777777" w:rsidR="00E92B83" w:rsidRDefault="00E92B83" w:rsidP="00E92B83">
      <w:pPr>
        <w:spacing w:after="0" w:line="240" w:lineRule="auto"/>
        <w:jc w:val="both"/>
        <w:rPr>
          <w:rFonts w:eastAsiaTheme="minorEastAsia"/>
        </w:rPr>
      </w:pPr>
    </w:p>
    <w:p w14:paraId="08E13AB2" w14:textId="77777777" w:rsidR="00E92B83" w:rsidRPr="004D5D10" w:rsidRDefault="00E92B83" w:rsidP="00E92B83">
      <w:pPr>
        <w:spacing w:after="0" w:line="240" w:lineRule="auto"/>
        <w:jc w:val="center"/>
        <w:rPr>
          <w:rFonts w:eastAsiaTheme="minorEastAsia"/>
          <w:b/>
          <w:bCs/>
          <w:color w:val="FF0000"/>
        </w:rPr>
      </w:pPr>
      <w:r w:rsidRPr="004D5D10">
        <w:rPr>
          <w:rFonts w:eastAsiaTheme="minorEastAsia"/>
          <w:b/>
          <w:bCs/>
          <w:color w:val="FF0000"/>
        </w:rPr>
        <w:t>IMPORTANT – Please make sure to name the submitted documents in the same manner as shown above!</w:t>
      </w:r>
    </w:p>
    <w:p w14:paraId="43957CDB" w14:textId="77777777" w:rsidR="00E92B83" w:rsidRDefault="00E92B83" w:rsidP="00E92B83">
      <w:pPr>
        <w:spacing w:after="0" w:line="240" w:lineRule="auto"/>
        <w:jc w:val="both"/>
        <w:rPr>
          <w:rFonts w:eastAsiaTheme="minorEastAsia"/>
        </w:rPr>
      </w:pPr>
    </w:p>
    <w:p w14:paraId="58E3AE41" w14:textId="77777777" w:rsidR="00E92B83" w:rsidRPr="005F1BB1" w:rsidRDefault="00E92B83" w:rsidP="00E92B83">
      <w:pPr>
        <w:pStyle w:val="ListParagraph"/>
        <w:numPr>
          <w:ilvl w:val="0"/>
          <w:numId w:val="6"/>
        </w:numPr>
        <w:spacing w:after="120" w:line="240" w:lineRule="auto"/>
        <w:jc w:val="both"/>
        <w:rPr>
          <w:lang w:val="en-GB"/>
        </w:rPr>
      </w:pPr>
      <w:r w:rsidRPr="00F73B7D">
        <w:rPr>
          <w:rFonts w:eastAsiaTheme="minorEastAsia"/>
          <w:color w:val="000000" w:themeColor="text1"/>
        </w:rPr>
        <w:t xml:space="preserve">IOM reserves the right to request additional documents that may be potentially needed for evaluation based on </w:t>
      </w:r>
      <w:r w:rsidRPr="472B296A">
        <w:rPr>
          <w:rFonts w:eastAsiaTheme="minorEastAsia"/>
          <w:color w:val="000000" w:themeColor="text1"/>
        </w:rPr>
        <w:t xml:space="preserve">the </w:t>
      </w:r>
      <w:r w:rsidRPr="00F73B7D">
        <w:rPr>
          <w:rFonts w:eastAsiaTheme="minorEastAsia"/>
          <w:color w:val="000000" w:themeColor="text1"/>
        </w:rPr>
        <w:t>Donor’s requirements and any other factors.</w:t>
      </w:r>
    </w:p>
    <w:p w14:paraId="31A0E581" w14:textId="77777777" w:rsidR="00E92B83" w:rsidRPr="005F1BB1" w:rsidRDefault="00E92B83" w:rsidP="00E92B83">
      <w:pPr>
        <w:pStyle w:val="ListParagraph"/>
        <w:numPr>
          <w:ilvl w:val="0"/>
          <w:numId w:val="6"/>
        </w:numPr>
        <w:spacing w:after="120" w:line="240" w:lineRule="auto"/>
        <w:jc w:val="both"/>
        <w:rPr>
          <w:lang w:val="en-GB"/>
        </w:rPr>
      </w:pPr>
      <w:r w:rsidRPr="005F1BB1">
        <w:rPr>
          <w:lang w:val="en-GB"/>
        </w:rPr>
        <w:t>The Application</w:t>
      </w:r>
      <w:r>
        <w:rPr>
          <w:lang w:val="en-GB"/>
        </w:rPr>
        <w:t>s</w:t>
      </w:r>
      <w:r w:rsidRPr="005F1BB1">
        <w:rPr>
          <w:lang w:val="en-GB"/>
        </w:rPr>
        <w:t xml:space="preserve"> </w:t>
      </w:r>
      <w:r w:rsidRPr="00F73B7D">
        <w:rPr>
          <w:b/>
          <w:bCs/>
          <w:lang w:val="en-GB"/>
        </w:rPr>
        <w:t>must be submitted in the English language</w:t>
      </w:r>
      <w:r>
        <w:rPr>
          <w:b/>
          <w:lang w:val="en-GB"/>
        </w:rPr>
        <w:t xml:space="preserve"> </w:t>
      </w:r>
      <w:r w:rsidRPr="00F73B7D">
        <w:rPr>
          <w:lang w:val="en-GB"/>
        </w:rPr>
        <w:t xml:space="preserve">(except </w:t>
      </w:r>
      <w:r>
        <w:rPr>
          <w:lang w:val="en-GB"/>
        </w:rPr>
        <w:t>documents</w:t>
      </w:r>
      <w:r w:rsidRPr="00F73B7D">
        <w:rPr>
          <w:lang w:val="en-GB"/>
        </w:rPr>
        <w:t xml:space="preserve"> issued by public authorities)</w:t>
      </w:r>
      <w:r w:rsidRPr="005F1BB1">
        <w:rPr>
          <w:lang w:val="en-GB"/>
        </w:rPr>
        <w:t xml:space="preserve"> and in the format prescribed by IOM within the CEI. All required information must be provided, responding clearly and concisely to all the points set out. Any application which does not fully and comprehensively address these CEI requirements may be rejected.</w:t>
      </w:r>
    </w:p>
    <w:p w14:paraId="0491634E" w14:textId="77777777" w:rsidR="00E92B83" w:rsidRPr="005F1BB1" w:rsidRDefault="00E92B83" w:rsidP="00E92B83">
      <w:pPr>
        <w:pStyle w:val="ListParagraph"/>
        <w:numPr>
          <w:ilvl w:val="0"/>
          <w:numId w:val="6"/>
        </w:numPr>
        <w:spacing w:after="120" w:line="240" w:lineRule="auto"/>
        <w:contextualSpacing w:val="0"/>
        <w:jc w:val="both"/>
        <w:rPr>
          <w:rFonts w:cstheme="minorHAnsi"/>
          <w:lang w:val="en-GB"/>
        </w:rPr>
      </w:pPr>
      <w:r w:rsidRPr="005F1BB1">
        <w:rPr>
          <w:rFonts w:cstheme="minorHAnsi"/>
          <w:lang w:val="en-GB"/>
        </w:rPr>
        <w:t>Applications may be modified or withdrawn in writing, prior to the closing time specified in this Request for EoI. Applications shall not be modified or withdrawn after the deadline.</w:t>
      </w:r>
    </w:p>
    <w:p w14:paraId="589B47DB" w14:textId="77777777" w:rsidR="00E92B83" w:rsidRPr="005F1BB1" w:rsidRDefault="00E92B83" w:rsidP="00E92B83">
      <w:pPr>
        <w:pStyle w:val="ListParagraph"/>
        <w:numPr>
          <w:ilvl w:val="0"/>
          <w:numId w:val="6"/>
        </w:numPr>
        <w:spacing w:after="120" w:line="240" w:lineRule="auto"/>
        <w:contextualSpacing w:val="0"/>
        <w:jc w:val="both"/>
        <w:rPr>
          <w:rFonts w:cstheme="minorHAnsi"/>
          <w:lang w:val="en-GB"/>
        </w:rPr>
      </w:pPr>
      <w:r w:rsidRPr="005F1BB1">
        <w:rPr>
          <w:rFonts w:cstheme="minorHAnsi"/>
          <w:lang w:val="en-GB"/>
        </w:rPr>
        <w:t>The</w:t>
      </w:r>
      <w:r>
        <w:rPr>
          <w:rFonts w:cstheme="minorHAnsi"/>
          <w:lang w:val="en-GB"/>
        </w:rPr>
        <w:t xml:space="preserve"> </w:t>
      </w:r>
      <w:r w:rsidRPr="005F1BB1">
        <w:rPr>
          <w:rFonts w:cstheme="minorHAnsi"/>
          <w:lang w:val="en-GB"/>
        </w:rPr>
        <w:t xml:space="preserve">Implementing partner shall bear all costs associated with the preparation and submission of the Application and IOM will not in any case be responsible and liable for the costs incurred. </w:t>
      </w:r>
    </w:p>
    <w:p w14:paraId="58206FF4" w14:textId="77777777" w:rsidR="00E92B83" w:rsidRDefault="00E92B83" w:rsidP="00E92B83">
      <w:pPr>
        <w:pStyle w:val="ListParagraph"/>
        <w:numPr>
          <w:ilvl w:val="0"/>
          <w:numId w:val="6"/>
        </w:numPr>
        <w:spacing w:after="120" w:line="240" w:lineRule="auto"/>
        <w:contextualSpacing w:val="0"/>
        <w:jc w:val="both"/>
        <w:rPr>
          <w:rFonts w:cstheme="minorHAnsi"/>
          <w:lang w:val="en-GB"/>
        </w:rPr>
      </w:pPr>
      <w:r w:rsidRPr="005F1BB1">
        <w:rPr>
          <w:rFonts w:cstheme="minorHAnsi"/>
          <w:lang w:val="en-GB"/>
        </w:rPr>
        <w:t xml:space="preserve">IOM </w:t>
      </w:r>
      <w:proofErr w:type="gramStart"/>
      <w:r w:rsidRPr="005F1BB1">
        <w:rPr>
          <w:rFonts w:cstheme="minorHAnsi"/>
          <w:lang w:val="en-GB"/>
        </w:rPr>
        <w:t>at</w:t>
      </w:r>
      <w:proofErr w:type="gramEnd"/>
      <w:r w:rsidRPr="005F1BB1">
        <w:rPr>
          <w:rFonts w:cstheme="minorHAnsi"/>
          <w:lang w:val="en-GB"/>
        </w:rPr>
        <w:t xml:space="preserve"> no occasion will ask an application fee from Implementing Partners.</w:t>
      </w:r>
    </w:p>
    <w:p w14:paraId="6F73C3D9" w14:textId="77777777" w:rsidR="00E92B83" w:rsidRPr="005F1BB1" w:rsidRDefault="00E92B83" w:rsidP="00E92B83">
      <w:pPr>
        <w:pStyle w:val="ListParagraph"/>
        <w:numPr>
          <w:ilvl w:val="0"/>
          <w:numId w:val="6"/>
        </w:numPr>
        <w:spacing w:after="120" w:line="240" w:lineRule="auto"/>
        <w:contextualSpacing w:val="0"/>
        <w:jc w:val="both"/>
        <w:rPr>
          <w:rFonts w:cstheme="minorHAnsi"/>
          <w:lang w:val="en-GB"/>
        </w:rPr>
      </w:pPr>
      <w:r w:rsidRPr="3905A50A">
        <w:t xml:space="preserve">Partners can use </w:t>
      </w:r>
      <w:hyperlink r:id="rId12" w:history="1">
        <w:r>
          <w:rPr>
            <w:rStyle w:val="Hyperlink"/>
          </w:rPr>
          <w:t>IOM's We Are All In platform</w:t>
        </w:r>
      </w:hyperlink>
      <w:r>
        <w:t xml:space="preserve"> for reporting fraud, corruption or misconduct.</w:t>
      </w:r>
    </w:p>
    <w:p w14:paraId="472D3E5D" w14:textId="77777777" w:rsidR="00E92B83" w:rsidRPr="005F1BB1" w:rsidRDefault="00E92B83" w:rsidP="00E92B83">
      <w:pPr>
        <w:pStyle w:val="ListParagraph"/>
        <w:numPr>
          <w:ilvl w:val="0"/>
          <w:numId w:val="6"/>
        </w:numPr>
        <w:spacing w:after="120" w:line="240" w:lineRule="auto"/>
        <w:jc w:val="both"/>
        <w:rPr>
          <w:lang w:val="en-GB"/>
        </w:rPr>
      </w:pPr>
      <w:r w:rsidRPr="005F1BB1">
        <w:rPr>
          <w:lang w:val="en-GB"/>
        </w:rPr>
        <w:t xml:space="preserve">All information given in writing to or verbally shared with the Implementing Partners in connection with this CEI is to be treated as strictly confidential. The Implementing Partner shall not share or invoke such information to any third party without the prior written approval of IOM. This obligation shall continue after the selection process has been completed </w:t>
      </w:r>
      <w:proofErr w:type="gramStart"/>
      <w:r w:rsidRPr="005F1BB1">
        <w:rPr>
          <w:lang w:val="en-GB"/>
        </w:rPr>
        <w:t>whether or not</w:t>
      </w:r>
      <w:proofErr w:type="gramEnd"/>
      <w:r w:rsidRPr="005F1BB1">
        <w:rPr>
          <w:lang w:val="en-GB"/>
        </w:rPr>
        <w:t xml:space="preserve"> the Implementing Partner application is successful.</w:t>
      </w:r>
    </w:p>
    <w:p w14:paraId="2DBE4A3B" w14:textId="77777777" w:rsidR="00E92B83" w:rsidRPr="005F1BB1" w:rsidRDefault="00E92B83" w:rsidP="00E92B83">
      <w:pPr>
        <w:pStyle w:val="ListParagraph"/>
        <w:numPr>
          <w:ilvl w:val="0"/>
          <w:numId w:val="6"/>
        </w:numPr>
        <w:spacing w:after="120" w:line="240" w:lineRule="auto"/>
        <w:contextualSpacing w:val="0"/>
        <w:jc w:val="both"/>
        <w:rPr>
          <w:lang w:val="en-GB"/>
        </w:rPr>
      </w:pPr>
      <w:r w:rsidRPr="005F1BB1">
        <w:rPr>
          <w:lang w:val="en-GB"/>
        </w:rPr>
        <w:t>IOM will treat all information (or that marked proprietary/sensitive/financial) received from Implementing Partners as confidential and any personal data in accordance with its Data Protection Principles.</w:t>
      </w:r>
    </w:p>
    <w:p w14:paraId="7832881B" w14:textId="77777777" w:rsidR="00E92B83" w:rsidRPr="005B1BCD" w:rsidRDefault="00E92B83" w:rsidP="00E92B83">
      <w:pPr>
        <w:pStyle w:val="ListParagraph"/>
        <w:numPr>
          <w:ilvl w:val="0"/>
          <w:numId w:val="6"/>
        </w:numPr>
        <w:spacing w:after="120" w:line="240" w:lineRule="auto"/>
        <w:contextualSpacing w:val="0"/>
        <w:jc w:val="both"/>
        <w:rPr>
          <w:lang w:val="en-GB"/>
        </w:rPr>
      </w:pPr>
      <w:r w:rsidRPr="005B1BCD">
        <w:rPr>
          <w:lang w:val="en-GB"/>
        </w:rPr>
        <w:t xml:space="preserve">The Implementing Partner, by </w:t>
      </w:r>
      <w:proofErr w:type="gramStart"/>
      <w:r w:rsidRPr="005B1BCD">
        <w:rPr>
          <w:lang w:val="en-GB"/>
        </w:rPr>
        <w:t>submitting an application</w:t>
      </w:r>
      <w:proofErr w:type="gramEnd"/>
      <w:r w:rsidRPr="005B1BCD">
        <w:rPr>
          <w:lang w:val="en-GB"/>
        </w:rPr>
        <w:t xml:space="preserve">, gives consent to IOM to share information with those who need to know </w:t>
      </w:r>
      <w:r w:rsidRPr="7B4F657B">
        <w:rPr>
          <w:lang w:val="en-GB"/>
        </w:rPr>
        <w:t xml:space="preserve">it </w:t>
      </w:r>
      <w:r w:rsidRPr="005B1BCD">
        <w:rPr>
          <w:lang w:val="en-GB"/>
        </w:rPr>
        <w:t>for the purposes of evaluating and managing the proposal.</w:t>
      </w:r>
    </w:p>
    <w:p w14:paraId="459C695F" w14:textId="77777777" w:rsidR="00E92B83" w:rsidRDefault="00E92B83" w:rsidP="00E92B83">
      <w:pPr>
        <w:pStyle w:val="ListParagraph"/>
        <w:numPr>
          <w:ilvl w:val="0"/>
          <w:numId w:val="6"/>
        </w:numPr>
        <w:spacing w:after="120" w:line="240" w:lineRule="auto"/>
        <w:contextualSpacing w:val="0"/>
        <w:jc w:val="both"/>
        <w:rPr>
          <w:rFonts w:cstheme="minorHAnsi"/>
          <w:lang w:val="en-GB"/>
        </w:rPr>
      </w:pPr>
      <w:r w:rsidRPr="005B1BCD">
        <w:rPr>
          <w:rFonts w:cstheme="minorHAnsi"/>
          <w:lang w:val="en-GB"/>
        </w:rPr>
        <w:t>IOM reserves the right to accept or reject any Application, and to cancel the process and reject all Applications, at any time without thereby incurring any liability to the affected Implementing partner or any obligation to inform the affected Implementing partner of the ground for IOM’s action.</w:t>
      </w:r>
    </w:p>
    <w:p w14:paraId="1C833B34" w14:textId="77777777" w:rsidR="00E92B83" w:rsidRPr="005B1BCD" w:rsidRDefault="00E92B83" w:rsidP="00E92B83">
      <w:pPr>
        <w:pStyle w:val="ListParagraph"/>
        <w:numPr>
          <w:ilvl w:val="0"/>
          <w:numId w:val="6"/>
        </w:numPr>
        <w:spacing w:after="120" w:line="240" w:lineRule="auto"/>
        <w:contextualSpacing w:val="0"/>
        <w:jc w:val="both"/>
        <w:rPr>
          <w:rFonts w:cstheme="minorHAnsi"/>
          <w:lang w:val="en-GB"/>
        </w:rPr>
      </w:pPr>
      <w:r w:rsidRPr="00F73B7D">
        <w:rPr>
          <w:rFonts w:cstheme="minorHAnsi"/>
        </w:rPr>
        <w:t>By submitting the application/expression of interest, the applicant confirms adherence to IOM’s Declaration of Conformity Form (Annex 2) and acknowledges receipt of the list of Proscribed Practices.</w:t>
      </w:r>
    </w:p>
    <w:p w14:paraId="7182FDA0" w14:textId="77777777" w:rsidR="00E92B83" w:rsidRPr="00EB3171" w:rsidRDefault="00E92B83" w:rsidP="00E92B83">
      <w:pPr>
        <w:pStyle w:val="ListParagraph"/>
        <w:numPr>
          <w:ilvl w:val="0"/>
          <w:numId w:val="6"/>
        </w:numPr>
        <w:spacing w:after="120" w:line="240" w:lineRule="auto"/>
        <w:contextualSpacing w:val="0"/>
        <w:jc w:val="both"/>
        <w:rPr>
          <w:rFonts w:cstheme="minorHAnsi"/>
          <w:b/>
          <w:bCs/>
          <w:lang w:val="en-GB"/>
        </w:rPr>
      </w:pPr>
      <w:r w:rsidRPr="00EB3171">
        <w:rPr>
          <w:rFonts w:cstheme="minorHAnsi"/>
          <w:b/>
          <w:bCs/>
          <w:lang w:val="en-GB"/>
        </w:rPr>
        <w:t>Selected Implementing partner needs to be ready to develop a full project proposal and a detailed budget based on the submitted Application in two weeks upon receiving the notification from IOM.</w:t>
      </w:r>
    </w:p>
    <w:p w14:paraId="4948C4C2" w14:textId="77777777" w:rsidR="00E92B83" w:rsidRPr="00B25CF3" w:rsidRDefault="00E92B83" w:rsidP="00E92B83">
      <w:pPr>
        <w:pStyle w:val="ListParagraph"/>
        <w:numPr>
          <w:ilvl w:val="0"/>
          <w:numId w:val="6"/>
        </w:numPr>
        <w:spacing w:after="120" w:line="240" w:lineRule="auto"/>
        <w:contextualSpacing w:val="0"/>
        <w:jc w:val="both"/>
        <w:rPr>
          <w:lang w:val="en-GB"/>
        </w:rPr>
      </w:pPr>
      <w:r w:rsidRPr="00EB3171">
        <w:rPr>
          <w:rFonts w:cstheme="minorHAnsi"/>
          <w:lang w:val="en-GB"/>
        </w:rPr>
        <w:t>All applicants will receive written notification on the outcome of the selection process within five weeks after</w:t>
      </w:r>
      <w:r w:rsidRPr="3C9D3B31">
        <w:rPr>
          <w:lang w:val="en-GB"/>
        </w:rPr>
        <w:t xml:space="preserve"> the deadline for the submission of Concept Notes. Should an applicant request further clarifications, IOM will provide a response explaining the transparency and integrity of the selection process undertaken.</w:t>
      </w:r>
    </w:p>
    <w:p w14:paraId="07B11408" w14:textId="77777777" w:rsidR="00E92B83" w:rsidRPr="00F73B7D" w:rsidRDefault="00E92B83" w:rsidP="00E92B83">
      <w:pPr>
        <w:pStyle w:val="ListParagraph"/>
        <w:numPr>
          <w:ilvl w:val="0"/>
          <w:numId w:val="6"/>
        </w:numPr>
        <w:spacing w:after="120" w:line="240" w:lineRule="auto"/>
        <w:contextualSpacing w:val="0"/>
        <w:jc w:val="both"/>
      </w:pPr>
      <w:r w:rsidRPr="00B25CF3">
        <w:rPr>
          <w:rFonts w:cstheme="minorHAnsi"/>
          <w:lang w:val="en-GB"/>
        </w:rPr>
        <w:t>IOM reserves the right to decline disclosure of the specificity of decision derived by the IOM mission due to reasons related to confidentiality.</w:t>
      </w:r>
    </w:p>
    <w:p w14:paraId="2F5A2A4F" w14:textId="36ACF82A" w:rsidR="00E92B83" w:rsidRPr="00276009" w:rsidRDefault="00E92B83" w:rsidP="00E92B83">
      <w:pPr>
        <w:pStyle w:val="ListParagraph"/>
        <w:numPr>
          <w:ilvl w:val="0"/>
          <w:numId w:val="6"/>
        </w:numPr>
        <w:spacing w:after="120" w:line="240" w:lineRule="auto"/>
        <w:contextualSpacing w:val="0"/>
        <w:jc w:val="both"/>
      </w:pPr>
      <w:r w:rsidRPr="00B25CF3">
        <w:rPr>
          <w:rFonts w:cstheme="minorHAnsi"/>
          <w:lang w:val="en-GB"/>
        </w:rPr>
        <w:t xml:space="preserve">IOM reserves the right to accept or reject any Expression of Interest, and to annul the selection process and reject all Expression of Interest at any time, without thereby incurring any liability to the affected Implementing Partners. For more information, please contact in writing sending </w:t>
      </w:r>
      <w:r w:rsidRPr="00B25CF3">
        <w:rPr>
          <w:rFonts w:cstheme="minorHAnsi"/>
          <w:color w:val="000000" w:themeColor="text1"/>
          <w:lang w:val="en-GB"/>
        </w:rPr>
        <w:t xml:space="preserve">email to </w:t>
      </w:r>
      <w:r w:rsidR="00276009">
        <w:rPr>
          <w:rFonts w:cstheme="minorHAnsi"/>
          <w:color w:val="000000" w:themeColor="text1"/>
          <w:lang w:val="en-GB"/>
        </w:rPr>
        <w:t>lvasilov@iom.int.</w:t>
      </w:r>
      <w:r w:rsidRPr="00B25CF3">
        <w:rPr>
          <w:rFonts w:cstheme="minorHAnsi"/>
          <w:color w:val="000000" w:themeColor="text1"/>
          <w:lang w:val="en-GB"/>
        </w:rPr>
        <w:t xml:space="preserve"> </w:t>
      </w:r>
      <w:r w:rsidRPr="00B25CF3">
        <w:rPr>
          <w:rFonts w:cstheme="minorHAnsi"/>
          <w:color w:val="4F81BD" w:themeColor="accent1"/>
          <w:lang w:val="en-GB"/>
        </w:rPr>
        <w:t xml:space="preserve"> </w:t>
      </w:r>
    </w:p>
    <w:p w14:paraId="21FAEE5C" w14:textId="77777777" w:rsidR="00276009" w:rsidRPr="00F73B7D" w:rsidRDefault="00276009" w:rsidP="00276009">
      <w:pPr>
        <w:pStyle w:val="ListParagraph"/>
        <w:spacing w:after="120" w:line="240" w:lineRule="auto"/>
        <w:contextualSpacing w:val="0"/>
        <w:jc w:val="both"/>
      </w:pPr>
    </w:p>
    <w:p w14:paraId="3115E367" w14:textId="77777777" w:rsidR="00E92B83" w:rsidRPr="00F00D9E" w:rsidRDefault="00E92B83" w:rsidP="007669BC">
      <w:pPr>
        <w:pStyle w:val="ListParagraph"/>
        <w:numPr>
          <w:ilvl w:val="0"/>
          <w:numId w:val="46"/>
        </w:numPr>
        <w:spacing w:after="120"/>
        <w:ind w:left="540"/>
        <w:rPr>
          <w:b/>
          <w:i/>
          <w:iCs/>
        </w:rPr>
      </w:pPr>
      <w:r w:rsidRPr="00F00D9E">
        <w:rPr>
          <w:b/>
          <w:i/>
          <w:iCs/>
        </w:rPr>
        <w:t>Corrupt, Fraudulent, Collusive and Coercive Practices</w:t>
      </w:r>
    </w:p>
    <w:p w14:paraId="2FC1C3EE" w14:textId="77777777" w:rsidR="00E92B83" w:rsidRDefault="00E92B83" w:rsidP="00E92B83">
      <w:pPr>
        <w:ind w:left="180"/>
        <w:jc w:val="both"/>
      </w:pPr>
      <w:r w:rsidRPr="00F73B7D">
        <w:t xml:space="preserve">IOM requires that all IOM staff, proponents, manufacturers, suppliers, or distributors, observe the highest standard </w:t>
      </w:r>
      <w:r w:rsidRPr="00F73B7D">
        <w:lastRenderedPageBreak/>
        <w:t xml:space="preserve">of ethics during procurement and execution of all agreements. IOM shall reject any </w:t>
      </w:r>
      <w:r w:rsidRPr="006A4E69">
        <w:t>Applications</w:t>
      </w:r>
      <w:r w:rsidRPr="00F73B7D">
        <w:t xml:space="preserve"> put forward by Applicants or where applicable terminate their agreement, if it is determined that they have engaged in corrupt, fraudulent, collusive, or coercive practices. In pursuance of this document, IOM defines, for the purposes of this provision, the terms set forth below as follows:</w:t>
      </w:r>
    </w:p>
    <w:p w14:paraId="37864F50" w14:textId="77777777" w:rsidR="00E92B83" w:rsidRDefault="00E92B83" w:rsidP="00E92B83">
      <w:pPr>
        <w:pStyle w:val="ListParagraph"/>
        <w:numPr>
          <w:ilvl w:val="0"/>
          <w:numId w:val="45"/>
        </w:numPr>
        <w:ind w:hanging="180"/>
        <w:jc w:val="both"/>
      </w:pPr>
      <w:r w:rsidRPr="006A4E69">
        <w:t>“</w:t>
      </w:r>
      <w:proofErr w:type="gramStart"/>
      <w:r w:rsidRPr="006A4E69">
        <w:t>corrupt</w:t>
      </w:r>
      <w:proofErr w:type="gramEnd"/>
      <w:r w:rsidRPr="006A4E69">
        <w:t xml:space="preserve"> practice” means the offering, giving, receiving or soliciting directly or indirectly anything of value to</w:t>
      </w:r>
      <w:r>
        <w:t xml:space="preserve"> </w:t>
      </w:r>
      <w:r w:rsidRPr="006A4E69">
        <w:t xml:space="preserve">influence the action of the Procuring/Contracting Entity in the procurement process or in agreement </w:t>
      </w:r>
      <w:proofErr w:type="gramStart"/>
      <w:r w:rsidRPr="006A4E69">
        <w:t>execution;</w:t>
      </w:r>
      <w:proofErr w:type="gramEnd"/>
    </w:p>
    <w:p w14:paraId="369D7F56" w14:textId="77777777" w:rsidR="00E92B83" w:rsidRDefault="00E92B83" w:rsidP="00E92B83">
      <w:pPr>
        <w:pStyle w:val="ListParagraph"/>
        <w:numPr>
          <w:ilvl w:val="0"/>
          <w:numId w:val="45"/>
        </w:numPr>
        <w:ind w:left="630" w:hanging="270"/>
        <w:jc w:val="both"/>
      </w:pPr>
      <w:r w:rsidRPr="006A4E69">
        <w:t>“</w:t>
      </w:r>
      <w:proofErr w:type="gramStart"/>
      <w:r w:rsidRPr="006A4E69">
        <w:t>fraudulent</w:t>
      </w:r>
      <w:proofErr w:type="gramEnd"/>
      <w:r w:rsidRPr="006A4E69">
        <w:t xml:space="preserve"> practice” is any acts or omission, including a misrepresentation, that knowingly or recklessly misleads, or attempts to mislead, the Procuring/Contracting Entity in the procurement process or the execution of an agreement, to obtain a financial gain or other benefit to avoid an </w:t>
      </w:r>
      <w:proofErr w:type="gramStart"/>
      <w:r w:rsidRPr="006A4E69">
        <w:t>obligation;</w:t>
      </w:r>
      <w:proofErr w:type="gramEnd"/>
    </w:p>
    <w:p w14:paraId="532AE6D3" w14:textId="77777777" w:rsidR="00E92B83" w:rsidRDefault="00E92B83" w:rsidP="00E92B83">
      <w:pPr>
        <w:pStyle w:val="ListParagraph"/>
        <w:numPr>
          <w:ilvl w:val="0"/>
          <w:numId w:val="45"/>
        </w:numPr>
        <w:ind w:left="630" w:hanging="270"/>
        <w:jc w:val="both"/>
      </w:pPr>
      <w:r w:rsidRPr="006A4E69">
        <w:t>“</w:t>
      </w:r>
      <w:proofErr w:type="gramStart"/>
      <w:r w:rsidRPr="006A4E69">
        <w:t>collusive</w:t>
      </w:r>
      <w:proofErr w:type="gramEnd"/>
      <w:r w:rsidRPr="006A4E69">
        <w:t xml:space="preserve"> practice” is an undisclosed arrangement between two or more Implementing Partners designed to artificially alter the results of the tender procedure to obtain a financial gain or </w:t>
      </w:r>
      <w:proofErr w:type="gramStart"/>
      <w:r w:rsidRPr="006A4E69">
        <w:t>benefit;</w:t>
      </w:r>
      <w:proofErr w:type="gramEnd"/>
    </w:p>
    <w:p w14:paraId="2FE60BAA" w14:textId="77777777" w:rsidR="00E92B83" w:rsidRPr="006A4E69" w:rsidRDefault="00E92B83" w:rsidP="00E92B83">
      <w:pPr>
        <w:pStyle w:val="ListParagraph"/>
        <w:numPr>
          <w:ilvl w:val="0"/>
          <w:numId w:val="45"/>
        </w:numPr>
        <w:ind w:left="630" w:hanging="270"/>
        <w:jc w:val="both"/>
      </w:pPr>
      <w:r w:rsidRPr="006A4E69">
        <w:t>“</w:t>
      </w:r>
      <w:proofErr w:type="gramStart"/>
      <w:r w:rsidRPr="006A4E69">
        <w:t>coercive</w:t>
      </w:r>
      <w:proofErr w:type="gramEnd"/>
      <w:r w:rsidRPr="006A4E69">
        <w:t xml:space="preserve"> practice” is impairing or harming, or threatening to impair or harm, directly or indirectly, any participant in the tender process to influence improperly its activities in a procurement process, or after the execution of an agreement.</w:t>
      </w:r>
    </w:p>
    <w:p w14:paraId="275A3886" w14:textId="77777777" w:rsidR="00E92B83" w:rsidRPr="006A4E69" w:rsidRDefault="00E92B83" w:rsidP="00E92B83">
      <w:pPr>
        <w:ind w:left="270"/>
      </w:pPr>
      <w:r w:rsidRPr="00F73B7D">
        <w:t xml:space="preserve">IOM will reject </w:t>
      </w:r>
      <w:r w:rsidRPr="006A4E69">
        <w:t>Application</w:t>
      </w:r>
      <w:r w:rsidRPr="00F73B7D">
        <w:t xml:space="preserve"> for award if it determines that the </w:t>
      </w:r>
      <w:r w:rsidRPr="006A4E69">
        <w:t>Implementing Partner(-s)</w:t>
      </w:r>
      <w:r w:rsidRPr="00F73B7D">
        <w:t xml:space="preserve"> recommended for award has engaged in corrupt, fraudulent, collusive or coercive practices in competing for the agreement in question.</w:t>
      </w:r>
    </w:p>
    <w:p w14:paraId="4B373642" w14:textId="77777777" w:rsidR="00E92B83" w:rsidRPr="00F00D9E" w:rsidRDefault="00E92B83" w:rsidP="007669BC">
      <w:pPr>
        <w:pStyle w:val="ListParagraph"/>
        <w:numPr>
          <w:ilvl w:val="0"/>
          <w:numId w:val="46"/>
        </w:numPr>
        <w:spacing w:after="120"/>
        <w:ind w:left="540"/>
        <w:rPr>
          <w:i/>
          <w:iCs/>
          <w:lang w:val="uk-UA"/>
        </w:rPr>
      </w:pPr>
      <w:r w:rsidRPr="00F00D9E">
        <w:rPr>
          <w:b/>
          <w:bCs/>
          <w:i/>
          <w:iCs/>
        </w:rPr>
        <w:t>Conflict of Interest</w:t>
      </w:r>
    </w:p>
    <w:p w14:paraId="20296A0E" w14:textId="77777777" w:rsidR="00E92B83" w:rsidRDefault="00E92B83" w:rsidP="00E92B83">
      <w:pPr>
        <w:spacing w:after="120"/>
        <w:ind w:left="180"/>
        <w:jc w:val="both"/>
      </w:pPr>
      <w:r w:rsidRPr="006A4E69">
        <w:t xml:space="preserve">IOM </w:t>
      </w:r>
      <w:proofErr w:type="gramStart"/>
      <w:r w:rsidRPr="006A4E69">
        <w:t>requires that</w:t>
      </w:r>
      <w:proofErr w:type="gramEnd"/>
      <w:r w:rsidRPr="006A4E69">
        <w:t xml:space="preserve"> all its contracts and agreements to be devoid of any form of conflict of </w:t>
      </w:r>
      <w:proofErr w:type="gramStart"/>
      <w:r w:rsidRPr="006A4E69">
        <w:t>interests</w:t>
      </w:r>
      <w:proofErr w:type="gramEnd"/>
      <w:r w:rsidRPr="006A4E69">
        <w:t xml:space="preserve">. IOM staff are required to disclose their affiliation with any Implementing Partner(-s) before the evaluation of the Applications is conducted. Similarly, all Implementing Partner(-s) shall disclose any affiliation they or any of their staff may have with anyone working with </w:t>
      </w:r>
      <w:proofErr w:type="gramStart"/>
      <w:r w:rsidRPr="006A4E69">
        <w:t>IOM</w:t>
      </w:r>
      <w:proofErr w:type="gramEnd"/>
      <w:r w:rsidRPr="006A4E69">
        <w:t xml:space="preserve"> especially those who are affiliated with either the requesting program or the Procurement Unit of the mission. Failure on the part of the proponent to make such a disclosure shall be construed as a violation of the ethical standards required by proponents for this Call for Expression of Interest.</w:t>
      </w:r>
    </w:p>
    <w:p w14:paraId="6FD65A06" w14:textId="77777777" w:rsidR="00E92B83" w:rsidRPr="006A4E69" w:rsidRDefault="00E92B83" w:rsidP="00E92B83">
      <w:pPr>
        <w:spacing w:after="120"/>
        <w:ind w:left="180"/>
        <w:jc w:val="both"/>
      </w:pPr>
      <w:r w:rsidRPr="006A4E69">
        <w:t>All Implementing Partner(-s) found to have conflict of interests shall be disqualified to participate in this Call for Expression of Interest. Aside from the definition in 1</w:t>
      </w:r>
      <w:r>
        <w:t>4</w:t>
      </w:r>
      <w:r w:rsidRPr="006A4E69">
        <w:t xml:space="preserve"> above, the following are considered form of conflict of interests: </w:t>
      </w:r>
    </w:p>
    <w:p w14:paraId="0D488833" w14:textId="77777777" w:rsidR="00E92B83" w:rsidRDefault="00E92B83" w:rsidP="00E92B83">
      <w:pPr>
        <w:pStyle w:val="ListParagraph"/>
        <w:numPr>
          <w:ilvl w:val="1"/>
          <w:numId w:val="6"/>
        </w:numPr>
        <w:spacing w:after="120"/>
        <w:jc w:val="both"/>
      </w:pPr>
      <w:r w:rsidRPr="006A4E69">
        <w:t>If any director, member(s) of the board or any other key personnel of Implementing Partner(-s) is/are also connected in any capacity, with another Implementing Partner(-s</w:t>
      </w:r>
      <w:proofErr w:type="gramStart"/>
      <w:r w:rsidRPr="006A4E69">
        <w:t>);</w:t>
      </w:r>
      <w:proofErr w:type="gramEnd"/>
    </w:p>
    <w:p w14:paraId="329DD549" w14:textId="77777777" w:rsidR="00E92B83" w:rsidRDefault="00E92B83" w:rsidP="00E92B83">
      <w:pPr>
        <w:pStyle w:val="ListParagraph"/>
        <w:numPr>
          <w:ilvl w:val="1"/>
          <w:numId w:val="6"/>
        </w:numPr>
        <w:spacing w:after="120"/>
        <w:jc w:val="both"/>
      </w:pPr>
      <w:r w:rsidRPr="006A4E69">
        <w:t>If Implementing Partner(-s) has direct access to information within IOM, whether through an IOM staff or any other source, that gives the Implementing Partner(-s) undue advantage over the other Implementing Partner(-s</w:t>
      </w:r>
      <w:proofErr w:type="gramStart"/>
      <w:r w:rsidRPr="006A4E69">
        <w:t>);</w:t>
      </w:r>
      <w:proofErr w:type="gramEnd"/>
    </w:p>
    <w:p w14:paraId="6C0C134E" w14:textId="77777777" w:rsidR="00E92B83" w:rsidRDefault="00E92B83" w:rsidP="00E92B83">
      <w:pPr>
        <w:pStyle w:val="ListParagraph"/>
        <w:numPr>
          <w:ilvl w:val="1"/>
          <w:numId w:val="6"/>
        </w:numPr>
        <w:spacing w:after="120"/>
        <w:jc w:val="both"/>
      </w:pPr>
      <w:r w:rsidRPr="006A4E69">
        <w:t xml:space="preserve">If Implementing Partner(-s) has connection with key IOM staff who </w:t>
      </w:r>
      <w:proofErr w:type="gramStart"/>
      <w:r w:rsidRPr="006A4E69">
        <w:t>has</w:t>
      </w:r>
      <w:proofErr w:type="gramEnd"/>
      <w:r w:rsidRPr="006A4E69">
        <w:t xml:space="preserve"> significant influence on the outcome of the evaluation of the Applications in response to this Call for Expression of </w:t>
      </w:r>
      <w:proofErr w:type="gramStart"/>
      <w:r w:rsidRPr="006A4E69">
        <w:t>Interest;</w:t>
      </w:r>
      <w:proofErr w:type="gramEnd"/>
    </w:p>
    <w:p w14:paraId="264D839C" w14:textId="77777777" w:rsidR="00E92B83" w:rsidRDefault="00E92B83" w:rsidP="00E92B83">
      <w:pPr>
        <w:pStyle w:val="ListParagraph"/>
        <w:numPr>
          <w:ilvl w:val="1"/>
          <w:numId w:val="6"/>
        </w:numPr>
        <w:spacing w:after="120"/>
        <w:jc w:val="both"/>
      </w:pPr>
      <w:r w:rsidRPr="006A4E69">
        <w:t>If Implementing Partner(-s) submits more than one Application: and</w:t>
      </w:r>
    </w:p>
    <w:p w14:paraId="06BEBD49" w14:textId="77777777" w:rsidR="00E92B83" w:rsidRPr="006A4E69" w:rsidRDefault="00E92B83" w:rsidP="00E92B83">
      <w:pPr>
        <w:pStyle w:val="ListParagraph"/>
        <w:numPr>
          <w:ilvl w:val="1"/>
          <w:numId w:val="6"/>
        </w:numPr>
        <w:spacing w:after="120"/>
        <w:jc w:val="both"/>
      </w:pPr>
      <w:r w:rsidRPr="006A4E69">
        <w:t xml:space="preserve">If Implementing Partner(-s) who participated in the preparation of the terms of reference of this Call for Expression of Interest submits their own application.  </w:t>
      </w:r>
    </w:p>
    <w:p w14:paraId="5E70432E" w14:textId="77777777" w:rsidR="00E92B83" w:rsidRPr="006A4E69" w:rsidRDefault="00E92B83" w:rsidP="00E92B83">
      <w:pPr>
        <w:pStyle w:val="ListParagraph"/>
        <w:spacing w:after="120"/>
        <w:ind w:left="540"/>
        <w:rPr>
          <w:b/>
        </w:rPr>
      </w:pPr>
    </w:p>
    <w:p w14:paraId="13CE1541" w14:textId="77777777" w:rsidR="00E92B83" w:rsidRPr="00F00D9E" w:rsidRDefault="00E92B83" w:rsidP="007669BC">
      <w:pPr>
        <w:pStyle w:val="ListParagraph"/>
        <w:numPr>
          <w:ilvl w:val="0"/>
          <w:numId w:val="46"/>
        </w:numPr>
        <w:tabs>
          <w:tab w:val="left" w:pos="360"/>
          <w:tab w:val="left" w:pos="450"/>
          <w:tab w:val="left" w:pos="540"/>
        </w:tabs>
        <w:spacing w:after="120"/>
        <w:ind w:hanging="540"/>
        <w:rPr>
          <w:b/>
          <w:bCs/>
          <w:i/>
          <w:iCs/>
        </w:rPr>
      </w:pPr>
      <w:r w:rsidRPr="00F00D9E">
        <w:rPr>
          <w:b/>
          <w:bCs/>
          <w:i/>
          <w:iCs/>
        </w:rPr>
        <w:t>Period of Validity of the Applications</w:t>
      </w:r>
    </w:p>
    <w:p w14:paraId="64121469" w14:textId="77777777" w:rsidR="00E92B83" w:rsidRDefault="00E92B83" w:rsidP="00E92B83">
      <w:pPr>
        <w:spacing w:after="120"/>
        <w:ind w:left="180"/>
        <w:jc w:val="both"/>
      </w:pPr>
      <w:r w:rsidRPr="006A4E69">
        <w:t>Applications shall remain valid for a period of at least 45 days from the date of their opening prescribed in this document. IOM reserves the right to reject any or all bids that do not comply with this requirement.</w:t>
      </w:r>
    </w:p>
    <w:p w14:paraId="24A5EA05" w14:textId="77777777" w:rsidR="00E92B83" w:rsidRDefault="00E92B83" w:rsidP="00E92B83">
      <w:pPr>
        <w:spacing w:after="120"/>
        <w:ind w:left="180"/>
        <w:jc w:val="both"/>
      </w:pPr>
      <w:r w:rsidRPr="006A4E69">
        <w:t>In exceptional circumstances, prior to expiry of the validity of the Application, IOM may request the Implementing Partner(-s) to extend the period of validity of the Application for another 15 days. The request and the Implementing Partner(-s) responses shall be made in writing.</w:t>
      </w:r>
    </w:p>
    <w:p w14:paraId="63867921" w14:textId="77777777" w:rsidR="00276009" w:rsidRDefault="00276009" w:rsidP="00E92B83">
      <w:pPr>
        <w:spacing w:after="120"/>
        <w:ind w:left="180"/>
        <w:jc w:val="both"/>
      </w:pPr>
    </w:p>
    <w:p w14:paraId="0C0F8E8C" w14:textId="77777777" w:rsidR="00E92B83" w:rsidRPr="00F00D9E" w:rsidRDefault="00E92B83" w:rsidP="007669BC">
      <w:pPr>
        <w:pStyle w:val="ListParagraph"/>
        <w:numPr>
          <w:ilvl w:val="0"/>
          <w:numId w:val="46"/>
        </w:numPr>
        <w:spacing w:after="120"/>
        <w:ind w:left="540"/>
        <w:jc w:val="both"/>
        <w:rPr>
          <w:i/>
          <w:iCs/>
        </w:rPr>
      </w:pPr>
      <w:r w:rsidRPr="00F00D9E">
        <w:rPr>
          <w:b/>
          <w:bCs/>
          <w:i/>
          <w:iCs/>
        </w:rPr>
        <w:t>Negotiations</w:t>
      </w:r>
    </w:p>
    <w:p w14:paraId="4BDC4456" w14:textId="77777777" w:rsidR="00E92B83" w:rsidRDefault="00E92B83" w:rsidP="00E92B83">
      <w:pPr>
        <w:tabs>
          <w:tab w:val="left" w:pos="270"/>
        </w:tabs>
        <w:spacing w:after="120"/>
        <w:ind w:left="180"/>
        <w:jc w:val="both"/>
      </w:pPr>
      <w:r w:rsidRPr="006A4E69">
        <w:t>After the evaluation of the Applications, IOM may clarify any provisions in their Applications with the Implementing Partner(-s) and if necessary, negotiate further any provision in the Application of the Implementing Partner(-s). The aim of the negotiation is to reach an agreement on all points.</w:t>
      </w:r>
    </w:p>
    <w:p w14:paraId="5C3668EA" w14:textId="77777777" w:rsidR="00E92B83" w:rsidRDefault="00E92B83" w:rsidP="00E92B83">
      <w:pPr>
        <w:tabs>
          <w:tab w:val="left" w:pos="270"/>
        </w:tabs>
        <w:spacing w:after="120"/>
        <w:ind w:left="180"/>
        <w:jc w:val="both"/>
      </w:pPr>
      <w:r w:rsidRPr="006A4E69">
        <w:t>Negotiation will include:</w:t>
      </w:r>
    </w:p>
    <w:p w14:paraId="2E63B266" w14:textId="77777777" w:rsidR="00E92B83" w:rsidRDefault="00E92B83" w:rsidP="00E92B83">
      <w:pPr>
        <w:tabs>
          <w:tab w:val="left" w:pos="270"/>
        </w:tabs>
        <w:spacing w:after="120"/>
        <w:ind w:left="180"/>
        <w:jc w:val="both"/>
      </w:pPr>
      <w:r w:rsidRPr="006A4E69">
        <w:t xml:space="preserve">a) discussion and clarification of the project activities to be implemented within its </w:t>
      </w:r>
      <w:proofErr w:type="gramStart"/>
      <w:r w:rsidRPr="006A4E69">
        <w:t>frameworks;</w:t>
      </w:r>
      <w:proofErr w:type="gramEnd"/>
    </w:p>
    <w:p w14:paraId="41BFC148" w14:textId="77777777" w:rsidR="00E92B83" w:rsidRDefault="00E92B83" w:rsidP="00E92B83">
      <w:pPr>
        <w:tabs>
          <w:tab w:val="left" w:pos="270"/>
        </w:tabs>
        <w:spacing w:after="120"/>
        <w:ind w:left="180"/>
        <w:jc w:val="both"/>
      </w:pPr>
      <w:r w:rsidRPr="006A4E69">
        <w:t>b) discussion and finalization of methodology and work program proposed by Implementing Partner(-s</w:t>
      </w:r>
      <w:proofErr w:type="gramStart"/>
      <w:r w:rsidRPr="006A4E69">
        <w:t>);</w:t>
      </w:r>
      <w:proofErr w:type="gramEnd"/>
    </w:p>
    <w:p w14:paraId="7466B2E8" w14:textId="77777777" w:rsidR="00E92B83" w:rsidRDefault="00E92B83" w:rsidP="00E92B83">
      <w:pPr>
        <w:tabs>
          <w:tab w:val="left" w:pos="270"/>
        </w:tabs>
        <w:spacing w:after="120"/>
        <w:ind w:left="180"/>
        <w:jc w:val="both"/>
      </w:pPr>
      <w:r w:rsidRPr="006A4E69">
        <w:t>c) consideration of appropriateness of qualifications of the personnel to be assigned to the job, and schedule of activities (staff schedule</w:t>
      </w:r>
      <w:proofErr w:type="gramStart"/>
      <w:r w:rsidRPr="006A4E69">
        <w:t>);</w:t>
      </w:r>
      <w:proofErr w:type="gramEnd"/>
    </w:p>
    <w:p w14:paraId="22EA60A0" w14:textId="77777777" w:rsidR="00E92B83" w:rsidRDefault="00E92B83" w:rsidP="00E92B83">
      <w:pPr>
        <w:tabs>
          <w:tab w:val="left" w:pos="270"/>
        </w:tabs>
        <w:spacing w:after="120"/>
        <w:ind w:left="180"/>
        <w:jc w:val="both"/>
      </w:pPr>
      <w:r w:rsidRPr="006A4E69">
        <w:t xml:space="preserve">d) discussion on the materials, facilities and data, to be provided by </w:t>
      </w:r>
      <w:proofErr w:type="gramStart"/>
      <w:r w:rsidRPr="006A4E69">
        <w:t>IOM;</w:t>
      </w:r>
      <w:proofErr w:type="gramEnd"/>
    </w:p>
    <w:p w14:paraId="148994CC" w14:textId="77777777" w:rsidR="00E92B83" w:rsidRDefault="00E92B83" w:rsidP="00E92B83">
      <w:pPr>
        <w:tabs>
          <w:tab w:val="left" w:pos="270"/>
        </w:tabs>
        <w:spacing w:after="120"/>
        <w:ind w:left="180"/>
        <w:jc w:val="both"/>
      </w:pPr>
      <w:r w:rsidRPr="006A4E69">
        <w:t xml:space="preserve">e) discussion and finalization of the reporting system (narrative and financial reports). </w:t>
      </w:r>
    </w:p>
    <w:p w14:paraId="49616329" w14:textId="77777777" w:rsidR="00276009" w:rsidRPr="006A4E69" w:rsidRDefault="00276009" w:rsidP="00E92B83">
      <w:pPr>
        <w:tabs>
          <w:tab w:val="left" w:pos="270"/>
        </w:tabs>
        <w:spacing w:after="120"/>
        <w:ind w:left="180"/>
        <w:jc w:val="both"/>
      </w:pPr>
    </w:p>
    <w:p w14:paraId="7D1E1233" w14:textId="1BFFCE94" w:rsidR="00E92B83" w:rsidRPr="00F00D9E" w:rsidRDefault="007669BC" w:rsidP="00E92B83">
      <w:pPr>
        <w:spacing w:after="120"/>
        <w:ind w:firstLine="180"/>
        <w:rPr>
          <w:b/>
          <w:bCs/>
          <w:i/>
          <w:iCs/>
        </w:rPr>
      </w:pPr>
      <w:r w:rsidRPr="007669BC">
        <w:t>17.</w:t>
      </w:r>
      <w:r>
        <w:rPr>
          <w:b/>
          <w:bCs/>
          <w:i/>
          <w:iCs/>
        </w:rPr>
        <w:t xml:space="preserve"> </w:t>
      </w:r>
      <w:r w:rsidR="00E92B83" w:rsidRPr="00F00D9E">
        <w:rPr>
          <w:b/>
          <w:bCs/>
          <w:i/>
          <w:iCs/>
        </w:rPr>
        <w:t>Confidentiality</w:t>
      </w:r>
    </w:p>
    <w:p w14:paraId="05AD224C" w14:textId="77777777" w:rsidR="00E92B83" w:rsidRPr="005F1BB1" w:rsidRDefault="00E92B83" w:rsidP="00E92B83">
      <w:pPr>
        <w:spacing w:after="120" w:line="240" w:lineRule="auto"/>
        <w:ind w:left="180"/>
        <w:jc w:val="both"/>
        <w:rPr>
          <w:rFonts w:eastAsia="Arial" w:cstheme="minorHAnsi"/>
          <w:noProof/>
          <w:color w:val="4F81BD" w:themeColor="accent1"/>
          <w:sz w:val="20"/>
          <w:szCs w:val="20"/>
          <w:lang w:val="en-GB"/>
        </w:rPr>
      </w:pPr>
      <w:r w:rsidRPr="00F73B7D">
        <w:t>Information related to Applications evaluation and recommendations regarding projects shall not be disclosed to Implementing Partner(-s) that submitted Applications or to other persons not officially related to the process. The undue use by any Implementing Partner(-s) of confidential information related to the process may result in the rejection of its application and may be subject to provisions of IOM’s anti-fraud and corruption policy.</w:t>
      </w:r>
    </w:p>
    <w:p w14:paraId="3922E9C6" w14:textId="19306F55" w:rsidR="00DB05B6" w:rsidRPr="00E92B83" w:rsidRDefault="00DB05B6" w:rsidP="00E92B83">
      <w:pPr>
        <w:spacing w:after="120" w:line="240" w:lineRule="auto"/>
        <w:rPr>
          <w:noProof/>
          <w:sz w:val="20"/>
          <w:szCs w:val="20"/>
          <w:lang w:val="en-GB"/>
        </w:rPr>
      </w:pPr>
    </w:p>
    <w:sectPr w:rsidR="00DB05B6" w:rsidRPr="00E92B83" w:rsidSect="00F33DEE">
      <w:headerReference w:type="default" r:id="rId13"/>
      <w:footerReference w:type="default" r:id="rId14"/>
      <w:headerReference w:type="first" r:id="rId15"/>
      <w:footerReference w:type="first" r:id="rId16"/>
      <w:pgSz w:w="11920" w:h="16840"/>
      <w:pgMar w:top="720" w:right="720" w:bottom="720" w:left="720" w:header="432" w:footer="8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7407" w14:textId="77777777" w:rsidR="00392F77" w:rsidRDefault="00392F77">
      <w:pPr>
        <w:spacing w:after="0" w:line="240" w:lineRule="auto"/>
      </w:pPr>
      <w:r>
        <w:separator/>
      </w:r>
    </w:p>
  </w:endnote>
  <w:endnote w:type="continuationSeparator" w:id="0">
    <w:p w14:paraId="539D7E8B" w14:textId="77777777" w:rsidR="00392F77" w:rsidRDefault="00392F77">
      <w:pPr>
        <w:spacing w:after="0" w:line="240" w:lineRule="auto"/>
      </w:pPr>
      <w:r>
        <w:continuationSeparator/>
      </w:r>
    </w:p>
  </w:endnote>
  <w:endnote w:type="continuationNotice" w:id="1">
    <w:p w14:paraId="679AF919" w14:textId="77777777" w:rsidR="00392F77" w:rsidRDefault="00392F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7074" w14:textId="77777777" w:rsidR="00E431FD" w:rsidRDefault="00E431FD">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933A" w14:textId="77777777" w:rsidR="002D3B86" w:rsidRDefault="002D3B86">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1C93136" w14:textId="77777777" w:rsidR="002D3B86" w:rsidRDefault="002D3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DA37" w14:textId="77777777" w:rsidR="00392F77" w:rsidRDefault="00392F77">
      <w:pPr>
        <w:spacing w:after="0" w:line="240" w:lineRule="auto"/>
      </w:pPr>
      <w:r>
        <w:separator/>
      </w:r>
    </w:p>
  </w:footnote>
  <w:footnote w:type="continuationSeparator" w:id="0">
    <w:p w14:paraId="379E42F3" w14:textId="77777777" w:rsidR="00392F77" w:rsidRDefault="00392F77">
      <w:pPr>
        <w:spacing w:after="0" w:line="240" w:lineRule="auto"/>
      </w:pPr>
      <w:r>
        <w:continuationSeparator/>
      </w:r>
    </w:p>
  </w:footnote>
  <w:footnote w:type="continuationNotice" w:id="1">
    <w:p w14:paraId="0D07CB31" w14:textId="77777777" w:rsidR="00392F77" w:rsidRDefault="00392F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699E" w14:textId="7B0650F9" w:rsidR="00B50929" w:rsidRDefault="00F33DEE" w:rsidP="00675063">
    <w:pPr>
      <w:spacing w:after="0" w:line="200" w:lineRule="exact"/>
      <w:jc w:val="center"/>
      <w:rPr>
        <w:color w:val="FF0000"/>
        <w:sz w:val="20"/>
        <w:szCs w:val="20"/>
      </w:rPr>
    </w:pPr>
    <w:r>
      <w:rPr>
        <w:noProof/>
        <w:color w:val="FF0000"/>
        <w:sz w:val="20"/>
        <w:szCs w:val="20"/>
      </w:rPr>
      <w:drawing>
        <wp:inline distT="0" distB="0" distL="0" distR="0" wp14:anchorId="4672E7E0" wp14:editId="593C57EF">
          <wp:extent cx="1835150" cy="76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683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3FDA" w14:textId="612C64F9" w:rsidR="00F33DEE" w:rsidRDefault="00F33DEE" w:rsidP="00F33DEE">
    <w:pPr>
      <w:pStyle w:val="Header"/>
      <w:jc w:val="center"/>
    </w:pPr>
    <w:r>
      <w:rPr>
        <w:noProof/>
      </w:rPr>
      <w:drawing>
        <wp:inline distT="0" distB="0" distL="0" distR="0" wp14:anchorId="7F2A9140" wp14:editId="1BBD5806">
          <wp:extent cx="1463040" cy="610373"/>
          <wp:effectExtent l="0" t="0" r="381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0518" cy="6134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964"/>
    <w:multiLevelType w:val="multilevel"/>
    <w:tmpl w:val="3056A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14AB3"/>
    <w:multiLevelType w:val="multilevel"/>
    <w:tmpl w:val="DB7482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8C6480"/>
    <w:multiLevelType w:val="multilevel"/>
    <w:tmpl w:val="81A28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D5902"/>
    <w:multiLevelType w:val="multilevel"/>
    <w:tmpl w:val="D9227CC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FD50AD"/>
    <w:multiLevelType w:val="hybridMultilevel"/>
    <w:tmpl w:val="6A1059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C15315B"/>
    <w:multiLevelType w:val="multilevel"/>
    <w:tmpl w:val="4CBE638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2C1913"/>
    <w:multiLevelType w:val="multilevel"/>
    <w:tmpl w:val="5F547A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963259"/>
    <w:multiLevelType w:val="multilevel"/>
    <w:tmpl w:val="551209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0307B6"/>
    <w:multiLevelType w:val="hybridMultilevel"/>
    <w:tmpl w:val="B2E2304C"/>
    <w:lvl w:ilvl="0" w:tplc="C1E05F4E">
      <w:start w:val="9"/>
      <w:numFmt w:val="bullet"/>
      <w:lvlText w:val=""/>
      <w:lvlJc w:val="left"/>
      <w:pPr>
        <w:ind w:left="720" w:hanging="360"/>
      </w:pPr>
      <w:rPr>
        <w:rFonts w:ascii="Symbol" w:eastAsia="Arial"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123B5"/>
    <w:multiLevelType w:val="multilevel"/>
    <w:tmpl w:val="04D482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E0D0CF8"/>
    <w:multiLevelType w:val="hybridMultilevel"/>
    <w:tmpl w:val="A5309EDA"/>
    <w:lvl w:ilvl="0" w:tplc="7FB01D2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4041F"/>
    <w:multiLevelType w:val="multilevel"/>
    <w:tmpl w:val="81006A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9A1CDD"/>
    <w:multiLevelType w:val="multilevel"/>
    <w:tmpl w:val="DEB680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436396"/>
    <w:multiLevelType w:val="multilevel"/>
    <w:tmpl w:val="6714E8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0E80379"/>
    <w:multiLevelType w:val="multilevel"/>
    <w:tmpl w:val="B394B8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2494755"/>
    <w:multiLevelType w:val="multilevel"/>
    <w:tmpl w:val="8A685EA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4717EA5"/>
    <w:multiLevelType w:val="multilevel"/>
    <w:tmpl w:val="A63E24B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4DF1033"/>
    <w:multiLevelType w:val="hybridMultilevel"/>
    <w:tmpl w:val="72E67E32"/>
    <w:lvl w:ilvl="0" w:tplc="EC5C36DC">
      <w:start w:val="1"/>
      <w:numFmt w:val="decimal"/>
      <w:lvlText w:val="%1"/>
      <w:lvlJc w:val="left"/>
      <w:pPr>
        <w:ind w:left="994" w:hanging="841"/>
      </w:pPr>
      <w:rPr>
        <w:rFonts w:ascii="Calibri" w:eastAsia="Calibri" w:hAnsi="Calibri" w:cs="Calibri" w:hint="default"/>
        <w:b w:val="0"/>
        <w:bCs w:val="0"/>
        <w:i w:val="0"/>
        <w:iCs w:val="0"/>
        <w:spacing w:val="0"/>
        <w:w w:val="100"/>
        <w:position w:val="-3"/>
        <w:sz w:val="22"/>
        <w:szCs w:val="22"/>
        <w:lang w:val="en-US" w:eastAsia="en-US" w:bidi="ar-SA"/>
      </w:rPr>
    </w:lvl>
    <w:lvl w:ilvl="1" w:tplc="E152CA80">
      <w:numFmt w:val="bullet"/>
      <w:lvlText w:val=""/>
      <w:lvlJc w:val="left"/>
      <w:pPr>
        <w:ind w:left="1594" w:hanging="360"/>
      </w:pPr>
      <w:rPr>
        <w:rFonts w:ascii="Symbol" w:eastAsia="Symbol" w:hAnsi="Symbol" w:cs="Symbol" w:hint="default"/>
        <w:b w:val="0"/>
        <w:bCs w:val="0"/>
        <w:i w:val="0"/>
        <w:iCs w:val="0"/>
        <w:spacing w:val="0"/>
        <w:w w:val="98"/>
        <w:sz w:val="22"/>
        <w:szCs w:val="22"/>
        <w:lang w:val="en-US" w:eastAsia="en-US" w:bidi="ar-SA"/>
      </w:rPr>
    </w:lvl>
    <w:lvl w:ilvl="2" w:tplc="08E23DE4">
      <w:numFmt w:val="bullet"/>
      <w:lvlText w:val="•"/>
      <w:lvlJc w:val="left"/>
      <w:pPr>
        <w:ind w:left="1600" w:hanging="360"/>
      </w:pPr>
      <w:rPr>
        <w:lang w:val="en-US" w:eastAsia="en-US" w:bidi="ar-SA"/>
      </w:rPr>
    </w:lvl>
    <w:lvl w:ilvl="3" w:tplc="C6986E14">
      <w:numFmt w:val="bullet"/>
      <w:lvlText w:val="•"/>
      <w:lvlJc w:val="left"/>
      <w:pPr>
        <w:ind w:left="2730" w:hanging="360"/>
      </w:pPr>
      <w:rPr>
        <w:lang w:val="en-US" w:eastAsia="en-US" w:bidi="ar-SA"/>
      </w:rPr>
    </w:lvl>
    <w:lvl w:ilvl="4" w:tplc="7D4675A6">
      <w:numFmt w:val="bullet"/>
      <w:lvlText w:val="•"/>
      <w:lvlJc w:val="left"/>
      <w:pPr>
        <w:ind w:left="3861" w:hanging="360"/>
      </w:pPr>
      <w:rPr>
        <w:lang w:val="en-US" w:eastAsia="en-US" w:bidi="ar-SA"/>
      </w:rPr>
    </w:lvl>
    <w:lvl w:ilvl="5" w:tplc="D2B85DBE">
      <w:numFmt w:val="bullet"/>
      <w:lvlText w:val="•"/>
      <w:lvlJc w:val="left"/>
      <w:pPr>
        <w:ind w:left="4992" w:hanging="360"/>
      </w:pPr>
      <w:rPr>
        <w:lang w:val="en-US" w:eastAsia="en-US" w:bidi="ar-SA"/>
      </w:rPr>
    </w:lvl>
    <w:lvl w:ilvl="6" w:tplc="98A2079A">
      <w:numFmt w:val="bullet"/>
      <w:lvlText w:val="•"/>
      <w:lvlJc w:val="left"/>
      <w:pPr>
        <w:ind w:left="6123" w:hanging="360"/>
      </w:pPr>
      <w:rPr>
        <w:lang w:val="en-US" w:eastAsia="en-US" w:bidi="ar-SA"/>
      </w:rPr>
    </w:lvl>
    <w:lvl w:ilvl="7" w:tplc="191A4F6C">
      <w:numFmt w:val="bullet"/>
      <w:lvlText w:val="•"/>
      <w:lvlJc w:val="left"/>
      <w:pPr>
        <w:ind w:left="7254" w:hanging="360"/>
      </w:pPr>
      <w:rPr>
        <w:lang w:val="en-US" w:eastAsia="en-US" w:bidi="ar-SA"/>
      </w:rPr>
    </w:lvl>
    <w:lvl w:ilvl="8" w:tplc="40766DFA">
      <w:numFmt w:val="bullet"/>
      <w:lvlText w:val="•"/>
      <w:lvlJc w:val="left"/>
      <w:pPr>
        <w:ind w:left="8385" w:hanging="360"/>
      </w:pPr>
      <w:rPr>
        <w:lang w:val="en-US" w:eastAsia="en-US" w:bidi="ar-SA"/>
      </w:rPr>
    </w:lvl>
  </w:abstractNum>
  <w:abstractNum w:abstractNumId="18" w15:restartNumberingAfterBreak="0">
    <w:nsid w:val="3A906AD0"/>
    <w:multiLevelType w:val="hybridMultilevel"/>
    <w:tmpl w:val="035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11FE1"/>
    <w:multiLevelType w:val="hybridMultilevel"/>
    <w:tmpl w:val="F6F4B60A"/>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56D31A3"/>
    <w:multiLevelType w:val="hybridMultilevel"/>
    <w:tmpl w:val="0A2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23D6A"/>
    <w:multiLevelType w:val="multilevel"/>
    <w:tmpl w:val="AE8A8EF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9847EEC"/>
    <w:multiLevelType w:val="hybridMultilevel"/>
    <w:tmpl w:val="A1DE6508"/>
    <w:lvl w:ilvl="0" w:tplc="624A34CC">
      <w:start w:val="1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710A5"/>
    <w:multiLevelType w:val="multilevel"/>
    <w:tmpl w:val="7A98BAC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001369"/>
    <w:multiLevelType w:val="multilevel"/>
    <w:tmpl w:val="AF12EEC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DCA1439"/>
    <w:multiLevelType w:val="multilevel"/>
    <w:tmpl w:val="EC2040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0673A7D"/>
    <w:multiLevelType w:val="hybridMultilevel"/>
    <w:tmpl w:val="562A234E"/>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59CA5AB9"/>
    <w:multiLevelType w:val="hybridMultilevel"/>
    <w:tmpl w:val="16368B28"/>
    <w:lvl w:ilvl="0" w:tplc="04090011">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A7C2A"/>
    <w:multiLevelType w:val="multilevel"/>
    <w:tmpl w:val="4F04D6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FCE223A"/>
    <w:multiLevelType w:val="multilevel"/>
    <w:tmpl w:val="68CCE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EC6A64"/>
    <w:multiLevelType w:val="hybridMultilevel"/>
    <w:tmpl w:val="AFA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6D2BBE"/>
    <w:multiLevelType w:val="multilevel"/>
    <w:tmpl w:val="AF444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B5B517E"/>
    <w:multiLevelType w:val="multilevel"/>
    <w:tmpl w:val="2D1631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320B29"/>
    <w:multiLevelType w:val="multilevel"/>
    <w:tmpl w:val="9C108F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F096D1E"/>
    <w:multiLevelType w:val="multilevel"/>
    <w:tmpl w:val="BDC24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B33B08"/>
    <w:multiLevelType w:val="hybridMultilevel"/>
    <w:tmpl w:val="8D1A8192"/>
    <w:lvl w:ilvl="0" w:tplc="45C2AE32">
      <w:start w:val="1"/>
      <w:numFmt w:val="decimal"/>
      <w:lvlText w:val="%1."/>
      <w:lvlJc w:val="left"/>
      <w:pPr>
        <w:ind w:left="1440" w:hanging="720"/>
      </w:pPr>
      <w:rPr>
        <w:rFonts w:hint="default"/>
      </w:rPr>
    </w:lvl>
    <w:lvl w:ilvl="1" w:tplc="2EFE2C8C">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5080501"/>
    <w:multiLevelType w:val="hybridMultilevel"/>
    <w:tmpl w:val="5C26922E"/>
    <w:lvl w:ilvl="0" w:tplc="5AE21BC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76086A99"/>
    <w:multiLevelType w:val="multilevel"/>
    <w:tmpl w:val="97844B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C94518"/>
    <w:multiLevelType w:val="multilevel"/>
    <w:tmpl w:val="BD7A6A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747203D"/>
    <w:multiLevelType w:val="hybridMultilevel"/>
    <w:tmpl w:val="0BA0347A"/>
    <w:lvl w:ilvl="0" w:tplc="DA6862B2">
      <w:start w:val="1"/>
      <w:numFmt w:val="lowerLetter"/>
      <w:lvlText w:val="%1)"/>
      <w:lvlJc w:val="left"/>
      <w:pPr>
        <w:ind w:left="1080" w:hanging="360"/>
      </w:pPr>
      <w:rPr>
        <w:rFonts w:ascii="Calibri" w:eastAsia="Times New Roman"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7E02173"/>
    <w:multiLevelType w:val="hybridMultilevel"/>
    <w:tmpl w:val="C4FA4B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0A7489"/>
    <w:multiLevelType w:val="hybridMultilevel"/>
    <w:tmpl w:val="1ABCF9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396001"/>
    <w:multiLevelType w:val="multilevel"/>
    <w:tmpl w:val="7CA682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D2F48C3"/>
    <w:multiLevelType w:val="multilevel"/>
    <w:tmpl w:val="42E82CE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F693703"/>
    <w:multiLevelType w:val="hybridMultilevel"/>
    <w:tmpl w:val="5AE0B9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FD0278D"/>
    <w:multiLevelType w:val="multilevel"/>
    <w:tmpl w:val="7870CA20"/>
    <w:lvl w:ilvl="0">
      <w:start w:val="2"/>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4352847">
    <w:abstractNumId w:val="44"/>
  </w:num>
  <w:num w:numId="2" w16cid:durableId="421221260">
    <w:abstractNumId w:val="35"/>
  </w:num>
  <w:num w:numId="3" w16cid:durableId="1183517320">
    <w:abstractNumId w:val="26"/>
  </w:num>
  <w:num w:numId="4" w16cid:durableId="862549988">
    <w:abstractNumId w:val="10"/>
  </w:num>
  <w:num w:numId="5" w16cid:durableId="321585888">
    <w:abstractNumId w:val="40"/>
  </w:num>
  <w:num w:numId="6" w16cid:durableId="1777820647">
    <w:abstractNumId w:val="41"/>
  </w:num>
  <w:num w:numId="7" w16cid:durableId="1319503148">
    <w:abstractNumId w:val="9"/>
  </w:num>
  <w:num w:numId="8" w16cid:durableId="733429374">
    <w:abstractNumId w:val="13"/>
  </w:num>
  <w:num w:numId="9" w16cid:durableId="770904038">
    <w:abstractNumId w:val="25"/>
  </w:num>
  <w:num w:numId="10" w16cid:durableId="347832049">
    <w:abstractNumId w:val="28"/>
  </w:num>
  <w:num w:numId="11" w16cid:durableId="710883192">
    <w:abstractNumId w:val="12"/>
  </w:num>
  <w:num w:numId="12" w16cid:durableId="933168141">
    <w:abstractNumId w:val="11"/>
  </w:num>
  <w:num w:numId="13" w16cid:durableId="628753450">
    <w:abstractNumId w:val="42"/>
  </w:num>
  <w:num w:numId="14" w16cid:durableId="1669822726">
    <w:abstractNumId w:val="38"/>
  </w:num>
  <w:num w:numId="15" w16cid:durableId="745033386">
    <w:abstractNumId w:val="1"/>
  </w:num>
  <w:num w:numId="16" w16cid:durableId="375934398">
    <w:abstractNumId w:val="23"/>
  </w:num>
  <w:num w:numId="17" w16cid:durableId="871499047">
    <w:abstractNumId w:val="15"/>
  </w:num>
  <w:num w:numId="18" w16cid:durableId="1276600209">
    <w:abstractNumId w:val="6"/>
  </w:num>
  <w:num w:numId="19" w16cid:durableId="255286959">
    <w:abstractNumId w:val="7"/>
  </w:num>
  <w:num w:numId="20" w16cid:durableId="386031089">
    <w:abstractNumId w:val="31"/>
  </w:num>
  <w:num w:numId="21" w16cid:durableId="627710931">
    <w:abstractNumId w:val="33"/>
  </w:num>
  <w:num w:numId="22" w16cid:durableId="806431415">
    <w:abstractNumId w:val="14"/>
  </w:num>
  <w:num w:numId="23" w16cid:durableId="1881162302">
    <w:abstractNumId w:val="16"/>
  </w:num>
  <w:num w:numId="24" w16cid:durableId="2050062888">
    <w:abstractNumId w:val="21"/>
  </w:num>
  <w:num w:numId="25" w16cid:durableId="804543155">
    <w:abstractNumId w:val="24"/>
  </w:num>
  <w:num w:numId="26" w16cid:durableId="1347059114">
    <w:abstractNumId w:val="43"/>
  </w:num>
  <w:num w:numId="27" w16cid:durableId="1132089050">
    <w:abstractNumId w:val="3"/>
  </w:num>
  <w:num w:numId="28" w16cid:durableId="1400514187">
    <w:abstractNumId w:val="5"/>
  </w:num>
  <w:num w:numId="29" w16cid:durableId="1111509890">
    <w:abstractNumId w:val="4"/>
  </w:num>
  <w:num w:numId="30" w16cid:durableId="606237152">
    <w:abstractNumId w:val="19"/>
  </w:num>
  <w:num w:numId="31" w16cid:durableId="391001888">
    <w:abstractNumId w:val="39"/>
  </w:num>
  <w:num w:numId="32" w16cid:durableId="55250869">
    <w:abstractNumId w:val="18"/>
  </w:num>
  <w:num w:numId="33" w16cid:durableId="1966809819">
    <w:abstractNumId w:val="30"/>
  </w:num>
  <w:num w:numId="34" w16cid:durableId="777525604">
    <w:abstractNumId w:val="20"/>
  </w:num>
  <w:num w:numId="35" w16cid:durableId="221790044">
    <w:abstractNumId w:val="17"/>
    <w:lvlOverride w:ilvl="0">
      <w:startOverride w:val="1"/>
    </w:lvlOverride>
    <w:lvlOverride w:ilvl="1"/>
    <w:lvlOverride w:ilvl="2"/>
    <w:lvlOverride w:ilvl="3"/>
    <w:lvlOverride w:ilvl="4"/>
    <w:lvlOverride w:ilvl="5"/>
    <w:lvlOverride w:ilvl="6"/>
    <w:lvlOverride w:ilvl="7"/>
    <w:lvlOverride w:ilvl="8"/>
  </w:num>
  <w:num w:numId="36" w16cid:durableId="1514295304">
    <w:abstractNumId w:val="0"/>
  </w:num>
  <w:num w:numId="37" w16cid:durableId="2120760122">
    <w:abstractNumId w:val="45"/>
  </w:num>
  <w:num w:numId="38" w16cid:durableId="56174995">
    <w:abstractNumId w:val="32"/>
  </w:num>
  <w:num w:numId="39" w16cid:durableId="982540833">
    <w:abstractNumId w:val="2"/>
  </w:num>
  <w:num w:numId="40" w16cid:durableId="930771033">
    <w:abstractNumId w:val="37"/>
  </w:num>
  <w:num w:numId="41" w16cid:durableId="582492238">
    <w:abstractNumId w:val="34"/>
  </w:num>
  <w:num w:numId="42" w16cid:durableId="449473611">
    <w:abstractNumId w:val="29"/>
  </w:num>
  <w:num w:numId="43" w16cid:durableId="2091080295">
    <w:abstractNumId w:val="8"/>
  </w:num>
  <w:num w:numId="44" w16cid:durableId="2044861612">
    <w:abstractNumId w:val="27"/>
  </w:num>
  <w:num w:numId="45" w16cid:durableId="686903065">
    <w:abstractNumId w:val="36"/>
  </w:num>
  <w:num w:numId="46" w16cid:durableId="20754656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C"/>
    <w:rsid w:val="000107DF"/>
    <w:rsid w:val="000438CA"/>
    <w:rsid w:val="000A543A"/>
    <w:rsid w:val="000B5EE6"/>
    <w:rsid w:val="000E24EA"/>
    <w:rsid w:val="0010606D"/>
    <w:rsid w:val="0012332B"/>
    <w:rsid w:val="00125AAA"/>
    <w:rsid w:val="00125E07"/>
    <w:rsid w:val="00133A1C"/>
    <w:rsid w:val="00146B6E"/>
    <w:rsid w:val="001813C6"/>
    <w:rsid w:val="001A49E6"/>
    <w:rsid w:val="001B1F35"/>
    <w:rsid w:val="001D0799"/>
    <w:rsid w:val="001D1D49"/>
    <w:rsid w:val="002077F1"/>
    <w:rsid w:val="002314AE"/>
    <w:rsid w:val="0024366C"/>
    <w:rsid w:val="00266C6E"/>
    <w:rsid w:val="00276009"/>
    <w:rsid w:val="002850B1"/>
    <w:rsid w:val="00293470"/>
    <w:rsid w:val="002D3B86"/>
    <w:rsid w:val="00306AEE"/>
    <w:rsid w:val="00323112"/>
    <w:rsid w:val="00323867"/>
    <w:rsid w:val="00335DE2"/>
    <w:rsid w:val="00340B20"/>
    <w:rsid w:val="00345965"/>
    <w:rsid w:val="00392F77"/>
    <w:rsid w:val="003A2CA0"/>
    <w:rsid w:val="003A7D0E"/>
    <w:rsid w:val="003C2D09"/>
    <w:rsid w:val="00400AA7"/>
    <w:rsid w:val="00492F8C"/>
    <w:rsid w:val="004A489B"/>
    <w:rsid w:val="004C2D02"/>
    <w:rsid w:val="004C7E9D"/>
    <w:rsid w:val="00516718"/>
    <w:rsid w:val="005375C2"/>
    <w:rsid w:val="00550AC5"/>
    <w:rsid w:val="00553777"/>
    <w:rsid w:val="00563AD6"/>
    <w:rsid w:val="00593A8F"/>
    <w:rsid w:val="005C2776"/>
    <w:rsid w:val="005E118D"/>
    <w:rsid w:val="005E5531"/>
    <w:rsid w:val="005F6C1E"/>
    <w:rsid w:val="00611B50"/>
    <w:rsid w:val="00625FD6"/>
    <w:rsid w:val="00631C80"/>
    <w:rsid w:val="00675063"/>
    <w:rsid w:val="00687115"/>
    <w:rsid w:val="006A67B4"/>
    <w:rsid w:val="006E16CF"/>
    <w:rsid w:val="006F3E42"/>
    <w:rsid w:val="006F5524"/>
    <w:rsid w:val="007025C7"/>
    <w:rsid w:val="00717CC0"/>
    <w:rsid w:val="00735621"/>
    <w:rsid w:val="007669BC"/>
    <w:rsid w:val="0076724B"/>
    <w:rsid w:val="00780E9E"/>
    <w:rsid w:val="007A5AAA"/>
    <w:rsid w:val="008106E8"/>
    <w:rsid w:val="008568D2"/>
    <w:rsid w:val="00864AED"/>
    <w:rsid w:val="00876029"/>
    <w:rsid w:val="008B521B"/>
    <w:rsid w:val="008B5A53"/>
    <w:rsid w:val="008C5E7E"/>
    <w:rsid w:val="0091364B"/>
    <w:rsid w:val="00935FF2"/>
    <w:rsid w:val="00964025"/>
    <w:rsid w:val="00966A6E"/>
    <w:rsid w:val="009A163E"/>
    <w:rsid w:val="009C46B2"/>
    <w:rsid w:val="009F2604"/>
    <w:rsid w:val="00A45ABD"/>
    <w:rsid w:val="00A634C0"/>
    <w:rsid w:val="00AB4424"/>
    <w:rsid w:val="00AD04C2"/>
    <w:rsid w:val="00AE67CE"/>
    <w:rsid w:val="00B11DB1"/>
    <w:rsid w:val="00B46786"/>
    <w:rsid w:val="00B50929"/>
    <w:rsid w:val="00B556AC"/>
    <w:rsid w:val="00B93E1A"/>
    <w:rsid w:val="00BA1969"/>
    <w:rsid w:val="00BD6922"/>
    <w:rsid w:val="00C34AB8"/>
    <w:rsid w:val="00C35ED9"/>
    <w:rsid w:val="00C529A8"/>
    <w:rsid w:val="00C53BCD"/>
    <w:rsid w:val="00C65113"/>
    <w:rsid w:val="00C70B36"/>
    <w:rsid w:val="00CC278B"/>
    <w:rsid w:val="00CF6E9D"/>
    <w:rsid w:val="00D00051"/>
    <w:rsid w:val="00D12A7D"/>
    <w:rsid w:val="00D51E75"/>
    <w:rsid w:val="00D8642B"/>
    <w:rsid w:val="00D9680B"/>
    <w:rsid w:val="00DA2A10"/>
    <w:rsid w:val="00DB05B6"/>
    <w:rsid w:val="00DC047D"/>
    <w:rsid w:val="00E431FD"/>
    <w:rsid w:val="00E62DDA"/>
    <w:rsid w:val="00E745E8"/>
    <w:rsid w:val="00E92B83"/>
    <w:rsid w:val="00EA3E87"/>
    <w:rsid w:val="00EA457F"/>
    <w:rsid w:val="00EC2967"/>
    <w:rsid w:val="00F02C5B"/>
    <w:rsid w:val="00F33DEE"/>
    <w:rsid w:val="00F44FB0"/>
    <w:rsid w:val="00F56B05"/>
    <w:rsid w:val="00F63100"/>
    <w:rsid w:val="00F80F44"/>
    <w:rsid w:val="00F90AEF"/>
    <w:rsid w:val="00FA3535"/>
    <w:rsid w:val="00FB2AA9"/>
    <w:rsid w:val="00FE5CE8"/>
    <w:rsid w:val="043C2238"/>
    <w:rsid w:val="0600F1F2"/>
    <w:rsid w:val="068D963E"/>
    <w:rsid w:val="085D548D"/>
    <w:rsid w:val="0978FA9B"/>
    <w:rsid w:val="0C90B24C"/>
    <w:rsid w:val="0C9FE766"/>
    <w:rsid w:val="0ED548F2"/>
    <w:rsid w:val="14787B0D"/>
    <w:rsid w:val="155C9D8C"/>
    <w:rsid w:val="16F86DED"/>
    <w:rsid w:val="17A8CD88"/>
    <w:rsid w:val="1815D9A8"/>
    <w:rsid w:val="1856FA63"/>
    <w:rsid w:val="18F1BAAB"/>
    <w:rsid w:val="194FFEA1"/>
    <w:rsid w:val="24D80BAF"/>
    <w:rsid w:val="24D9A171"/>
    <w:rsid w:val="265AFF92"/>
    <w:rsid w:val="26E9BF69"/>
    <w:rsid w:val="27BF15B3"/>
    <w:rsid w:val="288915EE"/>
    <w:rsid w:val="2A90FC51"/>
    <w:rsid w:val="2C7DBAB6"/>
    <w:rsid w:val="2E90A0BC"/>
    <w:rsid w:val="2ECC1C65"/>
    <w:rsid w:val="2F750061"/>
    <w:rsid w:val="316004C0"/>
    <w:rsid w:val="3219C162"/>
    <w:rsid w:val="354E7099"/>
    <w:rsid w:val="37A03DBA"/>
    <w:rsid w:val="37D70B34"/>
    <w:rsid w:val="38D0D477"/>
    <w:rsid w:val="3905A50A"/>
    <w:rsid w:val="3B7FBA70"/>
    <w:rsid w:val="3C290A7F"/>
    <w:rsid w:val="4CEAF13B"/>
    <w:rsid w:val="4E4583D2"/>
    <w:rsid w:val="4EBE3939"/>
    <w:rsid w:val="5464576C"/>
    <w:rsid w:val="58FD4160"/>
    <w:rsid w:val="599EE468"/>
    <w:rsid w:val="5BC35A28"/>
    <w:rsid w:val="5BE91211"/>
    <w:rsid w:val="5E4A911E"/>
    <w:rsid w:val="621ACDC6"/>
    <w:rsid w:val="6277225E"/>
    <w:rsid w:val="629A3063"/>
    <w:rsid w:val="63C597AA"/>
    <w:rsid w:val="6557A67D"/>
    <w:rsid w:val="66F9F4CB"/>
    <w:rsid w:val="6881C3CE"/>
    <w:rsid w:val="6889AA8D"/>
    <w:rsid w:val="6A07281D"/>
    <w:rsid w:val="6A72C40A"/>
    <w:rsid w:val="6B2DACD9"/>
    <w:rsid w:val="6E22196D"/>
    <w:rsid w:val="6E70FD04"/>
    <w:rsid w:val="6E870681"/>
    <w:rsid w:val="6EE56066"/>
    <w:rsid w:val="71F90426"/>
    <w:rsid w:val="784ECF98"/>
    <w:rsid w:val="78EFC2B0"/>
    <w:rsid w:val="7C7DAED6"/>
    <w:rsid w:val="7CF519B1"/>
    <w:rsid w:val="7DD363F7"/>
    <w:rsid w:val="7DD9515B"/>
    <w:rsid w:val="7DEB2838"/>
    <w:rsid w:val="7F30D5B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65DB1D63-D738-4AB0-8954-6D3A3B8B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8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922"/>
  </w:style>
  <w:style w:type="paragraph" w:styleId="Footer">
    <w:name w:val="footer"/>
    <w:basedOn w:val="Normal"/>
    <w:link w:val="FooterChar"/>
    <w:uiPriority w:val="99"/>
    <w:unhideWhenUsed/>
    <w:rsid w:val="00BD6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922"/>
  </w:style>
  <w:style w:type="paragraph" w:styleId="ListParagraph">
    <w:name w:val="List Paragraph"/>
    <w:aliases w:val="List Paragraph (numbered (a)),WB Para,List Paragraph1,Lapis Bulleted List,Bullet List,FooterText,Colorful List Accent 1,numbered,Paragraphe de liste1,列出段落,列出段落1,Bulletr List Paragraph,List Paragraph2,List Paragraph21,Párrafo de lista,Dot"/>
    <w:basedOn w:val="Normal"/>
    <w:link w:val="ListParagraphChar"/>
    <w:uiPriority w:val="1"/>
    <w:qFormat/>
    <w:rsid w:val="0010606D"/>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05B6"/>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B05B6"/>
  </w:style>
  <w:style w:type="character" w:customStyle="1" w:styleId="eop">
    <w:name w:val="eop"/>
    <w:basedOn w:val="DefaultParagraphFont"/>
    <w:rsid w:val="00DB05B6"/>
  </w:style>
  <w:style w:type="character" w:styleId="Hyperlink">
    <w:name w:val="Hyperlink"/>
    <w:basedOn w:val="DefaultParagraphFont"/>
    <w:uiPriority w:val="99"/>
    <w:unhideWhenUsed/>
    <w:rsid w:val="00D9680B"/>
    <w:rPr>
      <w:color w:val="0000FF" w:themeColor="hyperlink"/>
      <w:u w:val="single"/>
    </w:rPr>
  </w:style>
  <w:style w:type="character" w:styleId="UnresolvedMention">
    <w:name w:val="Unresolved Mention"/>
    <w:basedOn w:val="DefaultParagraphFont"/>
    <w:uiPriority w:val="99"/>
    <w:semiHidden/>
    <w:unhideWhenUsed/>
    <w:rsid w:val="00D9680B"/>
    <w:rPr>
      <w:color w:val="605E5C"/>
      <w:shd w:val="clear" w:color="auto" w:fill="E1DFDD"/>
    </w:rPr>
  </w:style>
  <w:style w:type="character" w:customStyle="1" w:styleId="ListParagraphChar">
    <w:name w:val="List Paragraph Char"/>
    <w:aliases w:val="List Paragraph (numbered (a)) Char,WB Para Char,List Paragraph1 Char,Lapis Bulleted List Char,Bullet List Char,FooterText Char,Colorful List Accent 1 Char,numbered Char,Paragraphe de liste1 Char,列出段落 Char,列出段落1 Char,Dot Char"/>
    <w:link w:val="ListParagraph"/>
    <w:uiPriority w:val="34"/>
    <w:qFormat/>
    <w:locked/>
    <w:rsid w:val="002D3B86"/>
  </w:style>
  <w:style w:type="paragraph" w:styleId="BodyText">
    <w:name w:val="Body Text"/>
    <w:basedOn w:val="Normal"/>
    <w:link w:val="BodyTextChar"/>
    <w:uiPriority w:val="99"/>
    <w:unhideWhenUsed/>
    <w:rsid w:val="002D3B86"/>
    <w:pPr>
      <w:spacing w:after="120"/>
    </w:pPr>
  </w:style>
  <w:style w:type="character" w:customStyle="1" w:styleId="BodyTextChar">
    <w:name w:val="Body Text Char"/>
    <w:basedOn w:val="DefaultParagraphFont"/>
    <w:link w:val="BodyText"/>
    <w:uiPriority w:val="99"/>
    <w:rsid w:val="002D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 w:id="1979531670">
      <w:bodyDiv w:val="1"/>
      <w:marLeft w:val="0"/>
      <w:marRight w:val="0"/>
      <w:marTop w:val="0"/>
      <w:marBottom w:val="0"/>
      <w:divBdr>
        <w:top w:val="none" w:sz="0" w:space="0" w:color="auto"/>
        <w:left w:val="none" w:sz="0" w:space="0" w:color="auto"/>
        <w:bottom w:val="none" w:sz="0" w:space="0" w:color="auto"/>
        <w:right w:val="none" w:sz="0" w:space="0" w:color="auto"/>
      </w:divBdr>
      <w:divsChild>
        <w:div w:id="112479732">
          <w:marLeft w:val="0"/>
          <w:marRight w:val="0"/>
          <w:marTop w:val="0"/>
          <w:marBottom w:val="0"/>
          <w:divBdr>
            <w:top w:val="none" w:sz="0" w:space="0" w:color="auto"/>
            <w:left w:val="none" w:sz="0" w:space="0" w:color="auto"/>
            <w:bottom w:val="none" w:sz="0" w:space="0" w:color="auto"/>
            <w:right w:val="none" w:sz="0" w:space="0" w:color="auto"/>
          </w:divBdr>
        </w:div>
        <w:div w:id="304553538">
          <w:marLeft w:val="0"/>
          <w:marRight w:val="0"/>
          <w:marTop w:val="0"/>
          <w:marBottom w:val="0"/>
          <w:divBdr>
            <w:top w:val="none" w:sz="0" w:space="0" w:color="auto"/>
            <w:left w:val="none" w:sz="0" w:space="0" w:color="auto"/>
            <w:bottom w:val="none" w:sz="0" w:space="0" w:color="auto"/>
            <w:right w:val="none" w:sz="0" w:space="0" w:color="auto"/>
          </w:divBdr>
        </w:div>
        <w:div w:id="328294799">
          <w:marLeft w:val="0"/>
          <w:marRight w:val="0"/>
          <w:marTop w:val="0"/>
          <w:marBottom w:val="0"/>
          <w:divBdr>
            <w:top w:val="none" w:sz="0" w:space="0" w:color="auto"/>
            <w:left w:val="none" w:sz="0" w:space="0" w:color="auto"/>
            <w:bottom w:val="none" w:sz="0" w:space="0" w:color="auto"/>
            <w:right w:val="none" w:sz="0" w:space="0" w:color="auto"/>
          </w:divBdr>
          <w:divsChild>
            <w:div w:id="48648832">
              <w:marLeft w:val="0"/>
              <w:marRight w:val="0"/>
              <w:marTop w:val="0"/>
              <w:marBottom w:val="0"/>
              <w:divBdr>
                <w:top w:val="none" w:sz="0" w:space="0" w:color="auto"/>
                <w:left w:val="none" w:sz="0" w:space="0" w:color="auto"/>
                <w:bottom w:val="none" w:sz="0" w:space="0" w:color="auto"/>
                <w:right w:val="none" w:sz="0" w:space="0" w:color="auto"/>
              </w:divBdr>
            </w:div>
            <w:div w:id="80026990">
              <w:marLeft w:val="0"/>
              <w:marRight w:val="0"/>
              <w:marTop w:val="0"/>
              <w:marBottom w:val="0"/>
              <w:divBdr>
                <w:top w:val="none" w:sz="0" w:space="0" w:color="auto"/>
                <w:left w:val="none" w:sz="0" w:space="0" w:color="auto"/>
                <w:bottom w:val="none" w:sz="0" w:space="0" w:color="auto"/>
                <w:right w:val="none" w:sz="0" w:space="0" w:color="auto"/>
              </w:divBdr>
            </w:div>
            <w:div w:id="227149526">
              <w:marLeft w:val="0"/>
              <w:marRight w:val="0"/>
              <w:marTop w:val="0"/>
              <w:marBottom w:val="0"/>
              <w:divBdr>
                <w:top w:val="none" w:sz="0" w:space="0" w:color="auto"/>
                <w:left w:val="none" w:sz="0" w:space="0" w:color="auto"/>
                <w:bottom w:val="none" w:sz="0" w:space="0" w:color="auto"/>
                <w:right w:val="none" w:sz="0" w:space="0" w:color="auto"/>
              </w:divBdr>
            </w:div>
            <w:div w:id="898051532">
              <w:marLeft w:val="0"/>
              <w:marRight w:val="0"/>
              <w:marTop w:val="0"/>
              <w:marBottom w:val="0"/>
              <w:divBdr>
                <w:top w:val="none" w:sz="0" w:space="0" w:color="auto"/>
                <w:left w:val="none" w:sz="0" w:space="0" w:color="auto"/>
                <w:bottom w:val="none" w:sz="0" w:space="0" w:color="auto"/>
                <w:right w:val="none" w:sz="0" w:space="0" w:color="auto"/>
              </w:divBdr>
            </w:div>
            <w:div w:id="2064059686">
              <w:marLeft w:val="0"/>
              <w:marRight w:val="0"/>
              <w:marTop w:val="0"/>
              <w:marBottom w:val="0"/>
              <w:divBdr>
                <w:top w:val="none" w:sz="0" w:space="0" w:color="auto"/>
                <w:left w:val="none" w:sz="0" w:space="0" w:color="auto"/>
                <w:bottom w:val="none" w:sz="0" w:space="0" w:color="auto"/>
                <w:right w:val="none" w:sz="0" w:space="0" w:color="auto"/>
              </w:divBdr>
            </w:div>
          </w:divsChild>
        </w:div>
        <w:div w:id="377629912">
          <w:marLeft w:val="0"/>
          <w:marRight w:val="0"/>
          <w:marTop w:val="0"/>
          <w:marBottom w:val="0"/>
          <w:divBdr>
            <w:top w:val="none" w:sz="0" w:space="0" w:color="auto"/>
            <w:left w:val="none" w:sz="0" w:space="0" w:color="auto"/>
            <w:bottom w:val="none" w:sz="0" w:space="0" w:color="auto"/>
            <w:right w:val="none" w:sz="0" w:space="0" w:color="auto"/>
          </w:divBdr>
        </w:div>
        <w:div w:id="559098369">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265501281">
          <w:marLeft w:val="0"/>
          <w:marRight w:val="0"/>
          <w:marTop w:val="0"/>
          <w:marBottom w:val="0"/>
          <w:divBdr>
            <w:top w:val="none" w:sz="0" w:space="0" w:color="auto"/>
            <w:left w:val="none" w:sz="0" w:space="0" w:color="auto"/>
            <w:bottom w:val="none" w:sz="0" w:space="0" w:color="auto"/>
            <w:right w:val="none" w:sz="0" w:space="0" w:color="auto"/>
          </w:divBdr>
        </w:div>
        <w:div w:id="1403715611">
          <w:marLeft w:val="0"/>
          <w:marRight w:val="0"/>
          <w:marTop w:val="0"/>
          <w:marBottom w:val="0"/>
          <w:divBdr>
            <w:top w:val="none" w:sz="0" w:space="0" w:color="auto"/>
            <w:left w:val="none" w:sz="0" w:space="0" w:color="auto"/>
            <w:bottom w:val="none" w:sz="0" w:space="0" w:color="auto"/>
            <w:right w:val="none" w:sz="0" w:space="0" w:color="auto"/>
          </w:divBdr>
          <w:divsChild>
            <w:div w:id="772242965">
              <w:marLeft w:val="0"/>
              <w:marRight w:val="0"/>
              <w:marTop w:val="0"/>
              <w:marBottom w:val="0"/>
              <w:divBdr>
                <w:top w:val="none" w:sz="0" w:space="0" w:color="auto"/>
                <w:left w:val="none" w:sz="0" w:space="0" w:color="auto"/>
                <w:bottom w:val="none" w:sz="0" w:space="0" w:color="auto"/>
                <w:right w:val="none" w:sz="0" w:space="0" w:color="auto"/>
              </w:divBdr>
            </w:div>
            <w:div w:id="964580074">
              <w:marLeft w:val="0"/>
              <w:marRight w:val="0"/>
              <w:marTop w:val="0"/>
              <w:marBottom w:val="0"/>
              <w:divBdr>
                <w:top w:val="none" w:sz="0" w:space="0" w:color="auto"/>
                <w:left w:val="none" w:sz="0" w:space="0" w:color="auto"/>
                <w:bottom w:val="none" w:sz="0" w:space="0" w:color="auto"/>
                <w:right w:val="none" w:sz="0" w:space="0" w:color="auto"/>
              </w:divBdr>
            </w:div>
            <w:div w:id="1303077737">
              <w:marLeft w:val="0"/>
              <w:marRight w:val="0"/>
              <w:marTop w:val="0"/>
              <w:marBottom w:val="0"/>
              <w:divBdr>
                <w:top w:val="none" w:sz="0" w:space="0" w:color="auto"/>
                <w:left w:val="none" w:sz="0" w:space="0" w:color="auto"/>
                <w:bottom w:val="none" w:sz="0" w:space="0" w:color="auto"/>
                <w:right w:val="none" w:sz="0" w:space="0" w:color="auto"/>
              </w:divBdr>
            </w:div>
            <w:div w:id="1671178811">
              <w:marLeft w:val="0"/>
              <w:marRight w:val="0"/>
              <w:marTop w:val="0"/>
              <w:marBottom w:val="0"/>
              <w:divBdr>
                <w:top w:val="none" w:sz="0" w:space="0" w:color="auto"/>
                <w:left w:val="none" w:sz="0" w:space="0" w:color="auto"/>
                <w:bottom w:val="none" w:sz="0" w:space="0" w:color="auto"/>
                <w:right w:val="none" w:sz="0" w:space="0" w:color="auto"/>
              </w:divBdr>
            </w:div>
            <w:div w:id="2053729995">
              <w:marLeft w:val="0"/>
              <w:marRight w:val="0"/>
              <w:marTop w:val="0"/>
              <w:marBottom w:val="0"/>
              <w:divBdr>
                <w:top w:val="none" w:sz="0" w:space="0" w:color="auto"/>
                <w:left w:val="none" w:sz="0" w:space="0" w:color="auto"/>
                <w:bottom w:val="none" w:sz="0" w:space="0" w:color="auto"/>
                <w:right w:val="none" w:sz="0" w:space="0" w:color="auto"/>
              </w:divBdr>
            </w:div>
          </w:divsChild>
        </w:div>
        <w:div w:id="1450515715">
          <w:marLeft w:val="0"/>
          <w:marRight w:val="0"/>
          <w:marTop w:val="0"/>
          <w:marBottom w:val="0"/>
          <w:divBdr>
            <w:top w:val="none" w:sz="0" w:space="0" w:color="auto"/>
            <w:left w:val="none" w:sz="0" w:space="0" w:color="auto"/>
            <w:bottom w:val="none" w:sz="0" w:space="0" w:color="auto"/>
            <w:right w:val="none" w:sz="0" w:space="0" w:color="auto"/>
          </w:divBdr>
        </w:div>
        <w:div w:id="1679120149">
          <w:marLeft w:val="0"/>
          <w:marRight w:val="0"/>
          <w:marTop w:val="0"/>
          <w:marBottom w:val="0"/>
          <w:divBdr>
            <w:top w:val="none" w:sz="0" w:space="0" w:color="auto"/>
            <w:left w:val="none" w:sz="0" w:space="0" w:color="auto"/>
            <w:bottom w:val="none" w:sz="0" w:space="0" w:color="auto"/>
            <w:right w:val="none" w:sz="0" w:space="0" w:color="auto"/>
          </w:divBdr>
          <w:divsChild>
            <w:div w:id="331612413">
              <w:marLeft w:val="0"/>
              <w:marRight w:val="0"/>
              <w:marTop w:val="0"/>
              <w:marBottom w:val="0"/>
              <w:divBdr>
                <w:top w:val="none" w:sz="0" w:space="0" w:color="auto"/>
                <w:left w:val="none" w:sz="0" w:space="0" w:color="auto"/>
                <w:bottom w:val="none" w:sz="0" w:space="0" w:color="auto"/>
                <w:right w:val="none" w:sz="0" w:space="0" w:color="auto"/>
              </w:divBdr>
            </w:div>
            <w:div w:id="920338401">
              <w:marLeft w:val="0"/>
              <w:marRight w:val="0"/>
              <w:marTop w:val="0"/>
              <w:marBottom w:val="0"/>
              <w:divBdr>
                <w:top w:val="none" w:sz="0" w:space="0" w:color="auto"/>
                <w:left w:val="none" w:sz="0" w:space="0" w:color="auto"/>
                <w:bottom w:val="none" w:sz="0" w:space="0" w:color="auto"/>
                <w:right w:val="none" w:sz="0" w:space="0" w:color="auto"/>
              </w:divBdr>
            </w:div>
            <w:div w:id="1084641710">
              <w:marLeft w:val="0"/>
              <w:marRight w:val="0"/>
              <w:marTop w:val="0"/>
              <w:marBottom w:val="0"/>
              <w:divBdr>
                <w:top w:val="none" w:sz="0" w:space="0" w:color="auto"/>
                <w:left w:val="none" w:sz="0" w:space="0" w:color="auto"/>
                <w:bottom w:val="none" w:sz="0" w:space="0" w:color="auto"/>
                <w:right w:val="none" w:sz="0" w:space="0" w:color="auto"/>
              </w:divBdr>
            </w:div>
            <w:div w:id="1762487515">
              <w:marLeft w:val="0"/>
              <w:marRight w:val="0"/>
              <w:marTop w:val="0"/>
              <w:marBottom w:val="0"/>
              <w:divBdr>
                <w:top w:val="none" w:sz="0" w:space="0" w:color="auto"/>
                <w:left w:val="none" w:sz="0" w:space="0" w:color="auto"/>
                <w:bottom w:val="none" w:sz="0" w:space="0" w:color="auto"/>
                <w:right w:val="none" w:sz="0" w:space="0" w:color="auto"/>
              </w:divBdr>
            </w:div>
            <w:div w:id="1924728427">
              <w:marLeft w:val="0"/>
              <w:marRight w:val="0"/>
              <w:marTop w:val="0"/>
              <w:marBottom w:val="0"/>
              <w:divBdr>
                <w:top w:val="none" w:sz="0" w:space="0" w:color="auto"/>
                <w:left w:val="none" w:sz="0" w:space="0" w:color="auto"/>
                <w:bottom w:val="none" w:sz="0" w:space="0" w:color="auto"/>
                <w:right w:val="none" w:sz="0" w:space="0" w:color="auto"/>
              </w:divBdr>
            </w:div>
          </w:divsChild>
        </w:div>
        <w:div w:id="1876237564">
          <w:marLeft w:val="0"/>
          <w:marRight w:val="0"/>
          <w:marTop w:val="0"/>
          <w:marBottom w:val="0"/>
          <w:divBdr>
            <w:top w:val="none" w:sz="0" w:space="0" w:color="auto"/>
            <w:left w:val="none" w:sz="0" w:space="0" w:color="auto"/>
            <w:bottom w:val="none" w:sz="0" w:space="0" w:color="auto"/>
            <w:right w:val="none" w:sz="0" w:space="0" w:color="auto"/>
          </w:divBdr>
        </w:div>
        <w:div w:id="2069372914">
          <w:marLeft w:val="0"/>
          <w:marRight w:val="0"/>
          <w:marTop w:val="0"/>
          <w:marBottom w:val="0"/>
          <w:divBdr>
            <w:top w:val="none" w:sz="0" w:space="0" w:color="auto"/>
            <w:left w:val="none" w:sz="0" w:space="0" w:color="auto"/>
            <w:bottom w:val="none" w:sz="0" w:space="0" w:color="auto"/>
            <w:right w:val="none" w:sz="0" w:space="0" w:color="auto"/>
          </w:divBdr>
        </w:div>
        <w:div w:id="2084060594">
          <w:marLeft w:val="0"/>
          <w:marRight w:val="0"/>
          <w:marTop w:val="0"/>
          <w:marBottom w:val="0"/>
          <w:divBdr>
            <w:top w:val="none" w:sz="0" w:space="0" w:color="auto"/>
            <w:left w:val="none" w:sz="0" w:space="0" w:color="auto"/>
            <w:bottom w:val="none" w:sz="0" w:space="0" w:color="auto"/>
            <w:right w:val="none" w:sz="0" w:space="0" w:color="auto"/>
          </w:divBdr>
        </w:div>
        <w:div w:id="2118745774">
          <w:marLeft w:val="0"/>
          <w:marRight w:val="0"/>
          <w:marTop w:val="0"/>
          <w:marBottom w:val="0"/>
          <w:divBdr>
            <w:top w:val="none" w:sz="0" w:space="0" w:color="auto"/>
            <w:left w:val="none" w:sz="0" w:space="0" w:color="auto"/>
            <w:bottom w:val="none" w:sz="0" w:space="0" w:color="auto"/>
            <w:right w:val="none" w:sz="0" w:space="0" w:color="auto"/>
          </w:divBdr>
          <w:divsChild>
            <w:div w:id="711879050">
              <w:marLeft w:val="0"/>
              <w:marRight w:val="0"/>
              <w:marTop w:val="0"/>
              <w:marBottom w:val="0"/>
              <w:divBdr>
                <w:top w:val="none" w:sz="0" w:space="0" w:color="auto"/>
                <w:left w:val="none" w:sz="0" w:space="0" w:color="auto"/>
                <w:bottom w:val="none" w:sz="0" w:space="0" w:color="auto"/>
                <w:right w:val="none" w:sz="0" w:space="0" w:color="auto"/>
              </w:divBdr>
            </w:div>
            <w:div w:id="839004343">
              <w:marLeft w:val="0"/>
              <w:marRight w:val="0"/>
              <w:marTop w:val="0"/>
              <w:marBottom w:val="0"/>
              <w:divBdr>
                <w:top w:val="none" w:sz="0" w:space="0" w:color="auto"/>
                <w:left w:val="none" w:sz="0" w:space="0" w:color="auto"/>
                <w:bottom w:val="none" w:sz="0" w:space="0" w:color="auto"/>
                <w:right w:val="none" w:sz="0" w:space="0" w:color="auto"/>
              </w:divBdr>
            </w:div>
            <w:div w:id="1378890924">
              <w:marLeft w:val="0"/>
              <w:marRight w:val="0"/>
              <w:marTop w:val="0"/>
              <w:marBottom w:val="0"/>
              <w:divBdr>
                <w:top w:val="none" w:sz="0" w:space="0" w:color="auto"/>
                <w:left w:val="none" w:sz="0" w:space="0" w:color="auto"/>
                <w:bottom w:val="none" w:sz="0" w:space="0" w:color="auto"/>
                <w:right w:val="none" w:sz="0" w:space="0" w:color="auto"/>
              </w:divBdr>
            </w:div>
            <w:div w:id="1976138918">
              <w:marLeft w:val="0"/>
              <w:marRight w:val="0"/>
              <w:marTop w:val="0"/>
              <w:marBottom w:val="0"/>
              <w:divBdr>
                <w:top w:val="none" w:sz="0" w:space="0" w:color="auto"/>
                <w:left w:val="none" w:sz="0" w:space="0" w:color="auto"/>
                <w:bottom w:val="none" w:sz="0" w:space="0" w:color="auto"/>
                <w:right w:val="none" w:sz="0" w:space="0" w:color="auto"/>
              </w:divBdr>
            </w:div>
            <w:div w:id="2083094452">
              <w:marLeft w:val="0"/>
              <w:marRight w:val="0"/>
              <w:marTop w:val="0"/>
              <w:marBottom w:val="0"/>
              <w:divBdr>
                <w:top w:val="none" w:sz="0" w:space="0" w:color="auto"/>
                <w:left w:val="none" w:sz="0" w:space="0" w:color="auto"/>
                <w:bottom w:val="none" w:sz="0" w:space="0" w:color="auto"/>
                <w:right w:val="none" w:sz="0" w:space="0" w:color="auto"/>
              </w:divBdr>
            </w:div>
          </w:divsChild>
        </w:div>
        <w:div w:id="2127848483">
          <w:marLeft w:val="0"/>
          <w:marRight w:val="0"/>
          <w:marTop w:val="0"/>
          <w:marBottom w:val="0"/>
          <w:divBdr>
            <w:top w:val="none" w:sz="0" w:space="0" w:color="auto"/>
            <w:left w:val="none" w:sz="0" w:space="0" w:color="auto"/>
            <w:bottom w:val="none" w:sz="0" w:space="0" w:color="auto"/>
            <w:right w:val="none" w:sz="0" w:space="0" w:color="auto"/>
          </w:divBdr>
          <w:divsChild>
            <w:div w:id="495875415">
              <w:marLeft w:val="0"/>
              <w:marRight w:val="0"/>
              <w:marTop w:val="0"/>
              <w:marBottom w:val="0"/>
              <w:divBdr>
                <w:top w:val="none" w:sz="0" w:space="0" w:color="auto"/>
                <w:left w:val="none" w:sz="0" w:space="0" w:color="auto"/>
                <w:bottom w:val="none" w:sz="0" w:space="0" w:color="auto"/>
                <w:right w:val="none" w:sz="0" w:space="0" w:color="auto"/>
              </w:divBdr>
            </w:div>
            <w:div w:id="755634900">
              <w:marLeft w:val="0"/>
              <w:marRight w:val="0"/>
              <w:marTop w:val="0"/>
              <w:marBottom w:val="0"/>
              <w:divBdr>
                <w:top w:val="none" w:sz="0" w:space="0" w:color="auto"/>
                <w:left w:val="none" w:sz="0" w:space="0" w:color="auto"/>
                <w:bottom w:val="none" w:sz="0" w:space="0" w:color="auto"/>
                <w:right w:val="none" w:sz="0" w:space="0" w:color="auto"/>
              </w:divBdr>
            </w:div>
            <w:div w:id="1199664275">
              <w:marLeft w:val="0"/>
              <w:marRight w:val="0"/>
              <w:marTop w:val="0"/>
              <w:marBottom w:val="0"/>
              <w:divBdr>
                <w:top w:val="none" w:sz="0" w:space="0" w:color="auto"/>
                <w:left w:val="none" w:sz="0" w:space="0" w:color="auto"/>
                <w:bottom w:val="none" w:sz="0" w:space="0" w:color="auto"/>
                <w:right w:val="none" w:sz="0" w:space="0" w:color="auto"/>
              </w:divBdr>
            </w:div>
            <w:div w:id="1288967848">
              <w:marLeft w:val="0"/>
              <w:marRight w:val="0"/>
              <w:marTop w:val="0"/>
              <w:marBottom w:val="0"/>
              <w:divBdr>
                <w:top w:val="none" w:sz="0" w:space="0" w:color="auto"/>
                <w:left w:val="none" w:sz="0" w:space="0" w:color="auto"/>
                <w:bottom w:val="none" w:sz="0" w:space="0" w:color="auto"/>
                <w:right w:val="none" w:sz="0" w:space="0" w:color="auto"/>
              </w:divBdr>
            </w:div>
            <w:div w:id="13203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areallin.iom.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mchisinau@iom.i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lmanastirli@iom.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23" ma:contentTypeDescription="Create a new document." ma:contentTypeScope="" ma:versionID="28e2fb6831b74ec604cd72fdeb021f9e">
  <xsd:schema xmlns:xsd="http://www.w3.org/2001/XMLSchema" xmlns:xs="http://www.w3.org/2001/XMLSchema" xmlns:p="http://schemas.microsoft.com/office/2006/metadata/properties" xmlns:ns1="http://schemas.microsoft.com/sharepoint/v3" xmlns:ns2="15b177b5-ea0b-4d35-8e24-e83c965dc511" xmlns:ns3="acb6bc82-986c-43c9-b493-32ef763e6397" targetNamespace="http://schemas.microsoft.com/office/2006/metadata/properties" ma:root="true" ma:fieldsID="6e1c3fc613de8715df2c88d29142fb6b" ns1:_="" ns2:_="" ns3:_="">
    <xsd:import namespace="http://schemas.microsoft.com/sharepoint/v3"/>
    <xsd:import namespace="15b177b5-ea0b-4d35-8e24-e83c965dc511"/>
    <xsd:import namespace="acb6bc82-986c-43c9-b493-32ef763e6397"/>
    <xsd:element name="properties">
      <xsd:complexType>
        <xsd:sequence>
          <xsd:element name="documentManagement">
            <xsd:complexType>
              <xsd:all>
                <xsd:element ref="ns1:_ip_UnifiedCompliancePolicyProperties" minOccurs="0"/>
                <xsd:element ref="ns2:Overview" minOccurs="0"/>
                <xsd:element ref="ns2:_Flow_SignoffStatus" minOccurs="0"/>
                <xsd:element ref="ns3:SharedWithUsers" minOccurs="0"/>
                <xsd:element ref="ns3:SharedWithDetails" minOccurs="0"/>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Overview" ma:index="4" nillable="true" ma:displayName="Overview" ma:internalName="Overview">
      <xsd:simpleType>
        <xsd:restriction base="dms:Note">
          <xsd:maxLength value="255"/>
        </xsd:restriction>
      </xsd:simpleType>
    </xsd:element>
    <xsd:element name="_Flow_SignoffStatus" ma:index="5" nillable="true" ma:displayName="Sign-off status" ma:internalName="Sign_x002d_off_x0020_status">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b6bc82-986c-43c9-b493-32ef763e6397">
      <UserInfo>
        <DisplayName/>
        <AccountId xsi:nil="true"/>
        <AccountType/>
      </UserInfo>
    </SharedWithUsers>
    <_ip_UnifiedCompliancePolicyUIAction xmlns="http://schemas.microsoft.com/sharepoint/v3" xsi:nil="true"/>
    <lcf76f155ced4ddcb4097134ff3c332f xmlns="15b177b5-ea0b-4d35-8e24-e83c965dc511">
      <Terms xmlns="http://schemas.microsoft.com/office/infopath/2007/PartnerControls"/>
    </lcf76f155ced4ddcb4097134ff3c332f>
    <_ip_UnifiedCompliancePolicyProperties xmlns="http://schemas.microsoft.com/sharepoint/v3" xsi:nil="true"/>
    <TaxCatchAll xmlns="acb6bc82-986c-43c9-b493-32ef763e6397" xsi:nil="true"/>
    <_Flow_SignoffStatus xmlns="15b177b5-ea0b-4d35-8e24-e83c965dc511" xsi:nil="true"/>
    <Overview xmlns="15b177b5-ea0b-4d35-8e24-e83c965dc511" xsi:nil="true"/>
  </documentManagement>
</p:properties>
</file>

<file path=customXml/itemProps1.xml><?xml version="1.0" encoding="utf-8"?>
<ds:datastoreItem xmlns:ds="http://schemas.openxmlformats.org/officeDocument/2006/customXml" ds:itemID="{2500E02F-93B8-42CD-84B7-BE6D691E8403}">
  <ds:schemaRefs>
    <ds:schemaRef ds:uri="http://schemas.microsoft.com/sharepoint/v3/contenttype/forms"/>
  </ds:schemaRefs>
</ds:datastoreItem>
</file>

<file path=customXml/itemProps2.xml><?xml version="1.0" encoding="utf-8"?>
<ds:datastoreItem xmlns:ds="http://schemas.openxmlformats.org/officeDocument/2006/customXml" ds:itemID="{8761F89A-FFD0-4EA3-9EC3-0EEC2675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177b5-ea0b-4d35-8e24-e83c965dc511"/>
    <ds:schemaRef ds:uri="acb6bc82-986c-43c9-b493-32ef763e6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 ds:uri="7b591f98-ed64-48de-9a5a-7a596cb06e3a"/>
    <ds:schemaRef ds:uri="ac322b00-2e77-4378-8da3-0bdad6727954"/>
    <ds:schemaRef ds:uri="acb6bc82-986c-43c9-b493-32ef763e6397"/>
    <ds:schemaRef ds:uri="http://schemas.microsoft.com/sharepoint/v3"/>
    <ds:schemaRef ds:uri="15b177b5-ea0b-4d35-8e24-e83c965dc511"/>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57</TotalTime>
  <Pages>8</Pages>
  <Words>3466</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Sample Call for Expression of Interest Toolkit</vt:lpstr>
    </vt:vector>
  </TitlesOfParts>
  <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keywords/>
  <cp:lastModifiedBy>SERBAN Irina</cp:lastModifiedBy>
  <cp:revision>5</cp:revision>
  <dcterms:created xsi:type="dcterms:W3CDTF">2025-11-24T14:07:00Z</dcterms:created>
  <dcterms:modified xsi:type="dcterms:W3CDTF">2025-11-24T15:14:00Z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0x0101002A4575149063BA44868D6FA8BA8BCF5F</vt:lpwstr>
  </property>
  <property fmtid="{D5CDD505-2E9C-101B-9397-08002B2CF9AE}" pid="12" name="Order">
    <vt:r8>1300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